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3A14E" w14:textId="78CA89C5" w:rsidR="009C7731" w:rsidRPr="00BB7811" w:rsidRDefault="00C35F47">
      <w:pPr>
        <w:rPr>
          <w:rFonts w:asciiTheme="majorHAnsi" w:hAnsiTheme="majorHAnsi"/>
        </w:rPr>
      </w:pPr>
      <w:r w:rsidRPr="00BB7811">
        <w:rPr>
          <w:rFonts w:asciiTheme="majorHAnsi" w:hAnsiTheme="majorHAnsi"/>
        </w:rPr>
        <w:t>CIF 202</w:t>
      </w:r>
      <w:r w:rsidR="00A03D15">
        <w:rPr>
          <w:rFonts w:asciiTheme="majorHAnsi" w:hAnsiTheme="majorHAnsi"/>
        </w:rPr>
        <w:t>3</w:t>
      </w:r>
      <w:r w:rsidRPr="00BB7811">
        <w:rPr>
          <w:rFonts w:asciiTheme="majorHAnsi" w:hAnsiTheme="majorHAnsi"/>
        </w:rPr>
        <w:t xml:space="preserve"> </w:t>
      </w:r>
      <w:r w:rsidR="00075F2A" w:rsidRPr="00BB7811">
        <w:rPr>
          <w:rFonts w:asciiTheme="majorHAnsi" w:hAnsiTheme="majorHAnsi"/>
        </w:rPr>
        <w:t xml:space="preserve">/ </w:t>
      </w:r>
      <w:r w:rsidRPr="00BB7811">
        <w:rPr>
          <w:rFonts w:asciiTheme="majorHAnsi" w:hAnsiTheme="majorHAnsi"/>
        </w:rPr>
        <w:t>Année 1 /</w:t>
      </w:r>
      <w:r w:rsidR="00075F2A" w:rsidRPr="00BB7811">
        <w:rPr>
          <w:rFonts w:asciiTheme="majorHAnsi" w:hAnsiTheme="majorHAnsi"/>
        </w:rPr>
        <w:t xml:space="preserve"> </w:t>
      </w:r>
      <w:r w:rsidRPr="00BB7811">
        <w:rPr>
          <w:rFonts w:asciiTheme="majorHAnsi" w:hAnsiTheme="majorHAnsi"/>
        </w:rPr>
        <w:t>1</w:t>
      </w:r>
      <w:r w:rsidRPr="00BB7811">
        <w:rPr>
          <w:rFonts w:asciiTheme="majorHAnsi" w:hAnsiTheme="majorHAnsi"/>
          <w:vertAlign w:val="superscript"/>
        </w:rPr>
        <w:t>er</w:t>
      </w:r>
      <w:r w:rsidRPr="00BB7811">
        <w:rPr>
          <w:rFonts w:asciiTheme="majorHAnsi" w:hAnsiTheme="majorHAnsi"/>
        </w:rPr>
        <w:t xml:space="preserve"> trimestre</w:t>
      </w:r>
    </w:p>
    <w:p w14:paraId="44F01736" w14:textId="77777777" w:rsidR="00C35F47" w:rsidRPr="00075F2A" w:rsidRDefault="00C35F47">
      <w:pPr>
        <w:rPr>
          <w:rFonts w:asciiTheme="majorHAnsi" w:hAnsiTheme="majorHAnsi"/>
        </w:rPr>
      </w:pPr>
    </w:p>
    <w:p w14:paraId="03A5EF82" w14:textId="4D7268E9" w:rsidR="00075F2A" w:rsidRPr="00C843A7" w:rsidRDefault="00C35F47" w:rsidP="00C843A7">
      <w:pPr>
        <w:jc w:val="center"/>
        <w:rPr>
          <w:rFonts w:asciiTheme="majorHAnsi" w:hAnsiTheme="majorHAnsi"/>
          <w:b/>
          <w:sz w:val="28"/>
          <w:szCs w:val="28"/>
        </w:rPr>
      </w:pPr>
      <w:r w:rsidRPr="00C843A7">
        <w:rPr>
          <w:rFonts w:asciiTheme="majorHAnsi" w:hAnsiTheme="majorHAnsi"/>
          <w:b/>
          <w:sz w:val="28"/>
          <w:szCs w:val="28"/>
        </w:rPr>
        <w:t>« Comment Dieu se manifeste</w:t>
      </w:r>
      <w:r w:rsidR="00BB7811">
        <w:rPr>
          <w:rFonts w:asciiTheme="majorHAnsi" w:hAnsiTheme="majorHAnsi"/>
          <w:b/>
          <w:sz w:val="28"/>
          <w:szCs w:val="28"/>
        </w:rPr>
        <w:t>-t-il</w:t>
      </w:r>
      <w:r w:rsidRPr="00C843A7">
        <w:rPr>
          <w:rFonts w:asciiTheme="majorHAnsi" w:hAnsiTheme="majorHAnsi"/>
          <w:b/>
          <w:sz w:val="28"/>
          <w:szCs w:val="28"/>
        </w:rPr>
        <w:t xml:space="preserve"> à l’homme ? »</w:t>
      </w:r>
    </w:p>
    <w:p w14:paraId="6AA0FCC2" w14:textId="73E37B7E" w:rsidR="00C35F47" w:rsidRPr="00C843A7" w:rsidRDefault="00C843A7" w:rsidP="00C843A7">
      <w:pPr>
        <w:jc w:val="center"/>
        <w:rPr>
          <w:rFonts w:asciiTheme="majorHAnsi" w:hAnsiTheme="majorHAnsi"/>
          <w:b/>
          <w:sz w:val="28"/>
          <w:szCs w:val="28"/>
        </w:rPr>
      </w:pPr>
      <w:r w:rsidRPr="00C843A7">
        <w:rPr>
          <w:rFonts w:asciiTheme="majorHAnsi" w:hAnsiTheme="majorHAnsi"/>
          <w:b/>
          <w:sz w:val="28"/>
          <w:szCs w:val="28"/>
        </w:rPr>
        <w:t>C</w:t>
      </w:r>
      <w:r w:rsidR="00075F2A" w:rsidRPr="00C843A7">
        <w:rPr>
          <w:rFonts w:asciiTheme="majorHAnsi" w:hAnsiTheme="majorHAnsi"/>
          <w:b/>
          <w:sz w:val="28"/>
          <w:szCs w:val="28"/>
        </w:rPr>
        <w:t xml:space="preserve">ours n° </w:t>
      </w:r>
      <w:r w:rsidR="005D5764">
        <w:rPr>
          <w:rFonts w:asciiTheme="majorHAnsi" w:hAnsiTheme="majorHAnsi"/>
          <w:b/>
          <w:sz w:val="28"/>
          <w:szCs w:val="28"/>
        </w:rPr>
        <w:t xml:space="preserve">3 : </w:t>
      </w:r>
      <w:r w:rsidR="00A03D15">
        <w:rPr>
          <w:rFonts w:asciiTheme="majorHAnsi" w:hAnsiTheme="majorHAnsi"/>
          <w:b/>
          <w:sz w:val="28"/>
          <w:szCs w:val="28"/>
        </w:rPr>
        <w:t>6 novembre 2023</w:t>
      </w:r>
      <w:r w:rsidR="00075F2A" w:rsidRPr="00C843A7">
        <w:rPr>
          <w:rFonts w:asciiTheme="majorHAnsi" w:hAnsiTheme="majorHAnsi"/>
          <w:b/>
          <w:sz w:val="28"/>
          <w:szCs w:val="28"/>
        </w:rPr>
        <w:t xml:space="preserve"> / 20h-22h</w:t>
      </w:r>
      <w:r w:rsidR="00BB7811">
        <w:rPr>
          <w:rFonts w:asciiTheme="majorHAnsi" w:hAnsiTheme="majorHAnsi"/>
          <w:b/>
          <w:sz w:val="28"/>
          <w:szCs w:val="28"/>
        </w:rPr>
        <w:t xml:space="preserve"> (visio)</w:t>
      </w:r>
    </w:p>
    <w:p w14:paraId="440ED4D7" w14:textId="77777777" w:rsidR="00F85A53" w:rsidRDefault="00F85A53" w:rsidP="00F85A53">
      <w:pPr>
        <w:rPr>
          <w:rFonts w:asciiTheme="majorHAnsi" w:hAnsiTheme="majorHAnsi"/>
        </w:rPr>
      </w:pPr>
    </w:p>
    <w:p w14:paraId="4C39E644" w14:textId="538CD048" w:rsidR="005D5764" w:rsidRDefault="001E37A2" w:rsidP="003006E1">
      <w:pPr>
        <w:jc w:val="both"/>
        <w:rPr>
          <w:rFonts w:asciiTheme="majorHAnsi" w:hAnsiTheme="majorHAnsi"/>
          <w:sz w:val="22"/>
          <w:szCs w:val="22"/>
        </w:rPr>
      </w:pPr>
      <w:r>
        <w:rPr>
          <w:rFonts w:asciiTheme="majorHAnsi" w:hAnsiTheme="majorHAnsi"/>
          <w:sz w:val="22"/>
          <w:szCs w:val="22"/>
        </w:rPr>
        <w:t>Après avoir évoqué (cours 1),</w:t>
      </w:r>
      <w:r w:rsidR="005D5764">
        <w:rPr>
          <w:rFonts w:asciiTheme="majorHAnsi" w:hAnsiTheme="majorHAnsi"/>
          <w:sz w:val="22"/>
          <w:szCs w:val="22"/>
        </w:rPr>
        <w:t xml:space="preserve"> à partir de 2Co 3, l</w:t>
      </w:r>
      <w:r w:rsidR="00C63557" w:rsidRPr="003153EC">
        <w:rPr>
          <w:rFonts w:asciiTheme="majorHAnsi" w:hAnsiTheme="majorHAnsi"/>
          <w:sz w:val="22"/>
          <w:szCs w:val="22"/>
        </w:rPr>
        <w:t>a compréhension trinitaire de Dieu agissant « par »</w:t>
      </w:r>
      <w:r w:rsidR="005D5764">
        <w:rPr>
          <w:rFonts w:asciiTheme="majorHAnsi" w:hAnsiTheme="majorHAnsi"/>
          <w:sz w:val="22"/>
          <w:szCs w:val="22"/>
        </w:rPr>
        <w:t xml:space="preserve"> le Christ et « dans » l’Esprit, on a examiné (cours 2), à partir de diverses références bibliques, </w:t>
      </w:r>
      <w:r w:rsidR="00C63557" w:rsidRPr="003153EC">
        <w:rPr>
          <w:rFonts w:asciiTheme="majorHAnsi" w:hAnsiTheme="majorHAnsi"/>
          <w:sz w:val="22"/>
          <w:szCs w:val="22"/>
        </w:rPr>
        <w:t xml:space="preserve">la </w:t>
      </w:r>
      <w:r>
        <w:rPr>
          <w:rFonts w:asciiTheme="majorHAnsi" w:hAnsiTheme="majorHAnsi"/>
          <w:sz w:val="22"/>
          <w:szCs w:val="22"/>
        </w:rPr>
        <w:t>réalité d’un</w:t>
      </w:r>
      <w:r w:rsidR="00C63557" w:rsidRPr="003153EC">
        <w:rPr>
          <w:rFonts w:asciiTheme="majorHAnsi" w:hAnsiTheme="majorHAnsi"/>
          <w:sz w:val="22"/>
          <w:szCs w:val="22"/>
        </w:rPr>
        <w:t xml:space="preserve"> Dieu </w:t>
      </w:r>
      <w:r>
        <w:rPr>
          <w:rFonts w:asciiTheme="majorHAnsi" w:hAnsiTheme="majorHAnsi"/>
          <w:sz w:val="22"/>
          <w:szCs w:val="22"/>
        </w:rPr>
        <w:t>se manifestant</w:t>
      </w:r>
      <w:r w:rsidR="00C63557" w:rsidRPr="003153EC">
        <w:rPr>
          <w:rFonts w:asciiTheme="majorHAnsi" w:hAnsiTheme="majorHAnsi"/>
          <w:sz w:val="22"/>
          <w:szCs w:val="22"/>
        </w:rPr>
        <w:t xml:space="preserve"> « dans le temps</w:t>
      </w:r>
      <w:r w:rsidR="005D5764">
        <w:rPr>
          <w:rFonts w:asciiTheme="majorHAnsi" w:hAnsiTheme="majorHAnsi"/>
          <w:sz w:val="22"/>
          <w:szCs w:val="22"/>
        </w:rPr>
        <w:t> »</w:t>
      </w:r>
      <w:r w:rsidR="00C63557" w:rsidRPr="003153EC">
        <w:rPr>
          <w:rFonts w:asciiTheme="majorHAnsi" w:hAnsiTheme="majorHAnsi"/>
          <w:sz w:val="22"/>
          <w:szCs w:val="22"/>
        </w:rPr>
        <w:t xml:space="preserve"> et </w:t>
      </w:r>
      <w:r w:rsidR="005D5764">
        <w:rPr>
          <w:rFonts w:asciiTheme="majorHAnsi" w:hAnsiTheme="majorHAnsi"/>
          <w:sz w:val="22"/>
          <w:szCs w:val="22"/>
        </w:rPr>
        <w:t>« </w:t>
      </w:r>
      <w:r w:rsidR="00C63557" w:rsidRPr="003153EC">
        <w:rPr>
          <w:rFonts w:asciiTheme="majorHAnsi" w:hAnsiTheme="majorHAnsi"/>
          <w:sz w:val="22"/>
          <w:szCs w:val="22"/>
        </w:rPr>
        <w:t>dans la chair »</w:t>
      </w:r>
      <w:r>
        <w:rPr>
          <w:rFonts w:asciiTheme="majorHAnsi" w:hAnsiTheme="majorHAnsi"/>
          <w:sz w:val="22"/>
          <w:szCs w:val="22"/>
        </w:rPr>
        <w:t xml:space="preserve">, c’est-à-dire </w:t>
      </w:r>
      <w:r w:rsidR="005D5764">
        <w:rPr>
          <w:rFonts w:asciiTheme="majorHAnsi" w:hAnsiTheme="majorHAnsi"/>
          <w:sz w:val="22"/>
          <w:szCs w:val="22"/>
        </w:rPr>
        <w:t>au plus proche de</w:t>
      </w:r>
      <w:r>
        <w:rPr>
          <w:rFonts w:asciiTheme="majorHAnsi" w:hAnsiTheme="majorHAnsi"/>
          <w:sz w:val="22"/>
          <w:szCs w:val="22"/>
        </w:rPr>
        <w:t xml:space="preserve">s réalités </w:t>
      </w:r>
      <w:r w:rsidR="005D5764">
        <w:rPr>
          <w:rFonts w:asciiTheme="majorHAnsi" w:hAnsiTheme="majorHAnsi"/>
          <w:sz w:val="22"/>
          <w:szCs w:val="22"/>
        </w:rPr>
        <w:t>humain</w:t>
      </w:r>
      <w:r>
        <w:rPr>
          <w:rFonts w:asciiTheme="majorHAnsi" w:hAnsiTheme="majorHAnsi"/>
          <w:sz w:val="22"/>
          <w:szCs w:val="22"/>
        </w:rPr>
        <w:t xml:space="preserve">es, assumant l’histoire et la condition humaine, faites aussi de mort. Une telle révélation </w:t>
      </w:r>
      <w:r w:rsidR="005D5764">
        <w:rPr>
          <w:rFonts w:asciiTheme="majorHAnsi" w:hAnsiTheme="majorHAnsi"/>
          <w:sz w:val="22"/>
          <w:szCs w:val="22"/>
        </w:rPr>
        <w:t xml:space="preserve">ne va pas sans </w:t>
      </w:r>
      <w:r>
        <w:rPr>
          <w:rFonts w:asciiTheme="majorHAnsi" w:hAnsiTheme="majorHAnsi"/>
          <w:sz w:val="22"/>
          <w:szCs w:val="22"/>
        </w:rPr>
        <w:t>bousculer</w:t>
      </w:r>
      <w:r w:rsidR="005D5764">
        <w:rPr>
          <w:rFonts w:asciiTheme="majorHAnsi" w:hAnsiTheme="majorHAnsi"/>
          <w:sz w:val="22"/>
          <w:szCs w:val="22"/>
        </w:rPr>
        <w:t xml:space="preserve"> la compréhension du temps, du deven</w:t>
      </w:r>
      <w:r>
        <w:rPr>
          <w:rFonts w:asciiTheme="majorHAnsi" w:hAnsiTheme="majorHAnsi"/>
          <w:sz w:val="22"/>
          <w:szCs w:val="22"/>
        </w:rPr>
        <w:t xml:space="preserve">ir, de la vérité et la vie et l’identité </w:t>
      </w:r>
      <w:r w:rsidR="005D5764">
        <w:rPr>
          <w:rFonts w:asciiTheme="majorHAnsi" w:hAnsiTheme="majorHAnsi"/>
          <w:sz w:val="22"/>
          <w:szCs w:val="22"/>
        </w:rPr>
        <w:t>humaine</w:t>
      </w:r>
      <w:r>
        <w:rPr>
          <w:rFonts w:asciiTheme="majorHAnsi" w:hAnsiTheme="majorHAnsi"/>
          <w:sz w:val="22"/>
          <w:szCs w:val="22"/>
        </w:rPr>
        <w:t>s</w:t>
      </w:r>
      <w:r w:rsidR="005D5764">
        <w:rPr>
          <w:rFonts w:asciiTheme="majorHAnsi" w:hAnsiTheme="majorHAnsi"/>
          <w:sz w:val="22"/>
          <w:szCs w:val="22"/>
        </w:rPr>
        <w:t>.</w:t>
      </w:r>
    </w:p>
    <w:p w14:paraId="15278427" w14:textId="77777777" w:rsidR="005D5764" w:rsidRDefault="005D5764" w:rsidP="003006E1">
      <w:pPr>
        <w:jc w:val="both"/>
        <w:rPr>
          <w:rFonts w:asciiTheme="majorHAnsi" w:hAnsiTheme="majorHAnsi"/>
          <w:sz w:val="22"/>
          <w:szCs w:val="22"/>
        </w:rPr>
      </w:pPr>
    </w:p>
    <w:p w14:paraId="714A3902" w14:textId="77777777" w:rsidR="006E6BF9" w:rsidRDefault="001E37A2" w:rsidP="003006E1">
      <w:pPr>
        <w:jc w:val="both"/>
        <w:rPr>
          <w:rFonts w:asciiTheme="majorHAnsi" w:hAnsiTheme="majorHAnsi"/>
          <w:sz w:val="22"/>
          <w:szCs w:val="22"/>
        </w:rPr>
      </w:pPr>
      <w:r w:rsidRPr="003006E1">
        <w:rPr>
          <w:rFonts w:asciiTheme="majorHAnsi" w:hAnsiTheme="majorHAnsi"/>
          <w:sz w:val="22"/>
          <w:szCs w:val="22"/>
        </w:rPr>
        <w:t xml:space="preserve">Pour </w:t>
      </w:r>
      <w:r w:rsidR="003006E1" w:rsidRPr="003006E1">
        <w:rPr>
          <w:rFonts w:asciiTheme="majorHAnsi" w:hAnsiTheme="majorHAnsi"/>
          <w:sz w:val="22"/>
          <w:szCs w:val="22"/>
        </w:rPr>
        <w:t xml:space="preserve">désigner la compréhension d’une telle </w:t>
      </w:r>
      <w:r w:rsidRPr="003006E1">
        <w:rPr>
          <w:rFonts w:asciiTheme="majorHAnsi" w:hAnsiTheme="majorHAnsi"/>
          <w:sz w:val="22"/>
          <w:szCs w:val="22"/>
        </w:rPr>
        <w:t>révélation</w:t>
      </w:r>
      <w:r w:rsidR="003006E1" w:rsidRPr="003006E1">
        <w:rPr>
          <w:rFonts w:asciiTheme="majorHAnsi" w:hAnsiTheme="majorHAnsi"/>
          <w:sz w:val="22"/>
          <w:szCs w:val="22"/>
        </w:rPr>
        <w:t xml:space="preserve">, la Tradition parle de « lieux », autrement dit, dans un vocabulaire plus contemporain, de </w:t>
      </w:r>
      <w:r w:rsidR="00C63557" w:rsidRPr="003006E1">
        <w:rPr>
          <w:rFonts w:asciiTheme="majorHAnsi" w:hAnsiTheme="majorHAnsi"/>
          <w:sz w:val="22"/>
          <w:szCs w:val="22"/>
        </w:rPr>
        <w:t>médiations concrètes</w:t>
      </w:r>
      <w:r w:rsidR="003006E1" w:rsidRPr="003006E1">
        <w:rPr>
          <w:rFonts w:asciiTheme="majorHAnsi" w:hAnsiTheme="majorHAnsi"/>
          <w:sz w:val="22"/>
          <w:szCs w:val="22"/>
        </w:rPr>
        <w:t>. On doit d’abord prendre la mesure du paradoxe : Dieu se révèle au plus proche</w:t>
      </w:r>
      <w:r w:rsidR="006E6BF9">
        <w:rPr>
          <w:rFonts w:asciiTheme="majorHAnsi" w:hAnsiTheme="majorHAnsi"/>
          <w:sz w:val="22"/>
          <w:szCs w:val="22"/>
        </w:rPr>
        <w:t>,</w:t>
      </w:r>
      <w:r w:rsidR="003006E1" w:rsidRPr="003006E1">
        <w:rPr>
          <w:rFonts w:asciiTheme="majorHAnsi" w:hAnsiTheme="majorHAnsi"/>
          <w:sz w:val="22"/>
          <w:szCs w:val="22"/>
        </w:rPr>
        <w:t xml:space="preserve"> mais cela ne va pas sans « médiation ». </w:t>
      </w:r>
    </w:p>
    <w:p w14:paraId="2C10D702" w14:textId="77777777" w:rsidR="006E6BF9" w:rsidRDefault="006E6BF9" w:rsidP="003006E1">
      <w:pPr>
        <w:jc w:val="both"/>
        <w:rPr>
          <w:rFonts w:asciiTheme="majorHAnsi" w:hAnsiTheme="majorHAnsi"/>
          <w:sz w:val="22"/>
          <w:szCs w:val="22"/>
        </w:rPr>
      </w:pPr>
    </w:p>
    <w:p w14:paraId="58ECFDFC" w14:textId="4779F09F" w:rsidR="003006E1" w:rsidRDefault="003006E1" w:rsidP="003006E1">
      <w:pPr>
        <w:jc w:val="both"/>
        <w:rPr>
          <w:rFonts w:asciiTheme="majorHAnsi" w:hAnsiTheme="majorHAnsi"/>
          <w:sz w:val="22"/>
          <w:szCs w:val="22"/>
        </w:rPr>
      </w:pPr>
      <w:r w:rsidRPr="003006E1">
        <w:rPr>
          <w:rFonts w:asciiTheme="majorHAnsi" w:hAnsiTheme="majorHAnsi"/>
          <w:sz w:val="22"/>
          <w:szCs w:val="22"/>
        </w:rPr>
        <w:t>On retient ici</w:t>
      </w:r>
      <w:r w:rsidR="005D5764" w:rsidRPr="003006E1">
        <w:rPr>
          <w:rFonts w:asciiTheme="majorHAnsi" w:hAnsiTheme="majorHAnsi"/>
          <w:sz w:val="22"/>
          <w:szCs w:val="22"/>
        </w:rPr>
        <w:t xml:space="preserve"> trois </w:t>
      </w:r>
      <w:r w:rsidRPr="003006E1">
        <w:rPr>
          <w:rFonts w:asciiTheme="majorHAnsi" w:hAnsiTheme="majorHAnsi"/>
          <w:sz w:val="22"/>
          <w:szCs w:val="22"/>
        </w:rPr>
        <w:t xml:space="preserve">types </w:t>
      </w:r>
      <w:r w:rsidR="005D5764" w:rsidRPr="003006E1">
        <w:rPr>
          <w:rFonts w:asciiTheme="majorHAnsi" w:hAnsiTheme="majorHAnsi"/>
          <w:sz w:val="22"/>
          <w:szCs w:val="22"/>
        </w:rPr>
        <w:t>pour faciliter</w:t>
      </w:r>
      <w:r w:rsidRPr="003006E1">
        <w:rPr>
          <w:rFonts w:asciiTheme="majorHAnsi" w:hAnsiTheme="majorHAnsi"/>
          <w:sz w:val="22"/>
          <w:szCs w:val="22"/>
        </w:rPr>
        <w:t xml:space="preserve"> la compréhension des « lieux » de statut différent, </w:t>
      </w:r>
      <w:r w:rsidRPr="003006E1">
        <w:rPr>
          <w:rFonts w:asciiTheme="majorHAnsi" w:eastAsia="Times New Roman" w:hAnsiTheme="majorHAnsi"/>
          <w:color w:val="000000"/>
          <w:sz w:val="22"/>
          <w:szCs w:val="22"/>
          <w:shd w:val="clear" w:color="auto" w:fill="FFFFFF"/>
        </w:rPr>
        <w:t>comme points de repères fondamentaux, certes pour le travail théologique, mais d’abord pour la vie de foi.</w:t>
      </w:r>
    </w:p>
    <w:p w14:paraId="31140646" w14:textId="3C09A433" w:rsidR="001E0444" w:rsidRPr="003153EC" w:rsidRDefault="001E0444" w:rsidP="005D5764">
      <w:pPr>
        <w:jc w:val="both"/>
        <w:rPr>
          <w:rFonts w:asciiTheme="majorHAnsi" w:hAnsiTheme="majorHAnsi"/>
          <w:sz w:val="22"/>
          <w:szCs w:val="22"/>
        </w:rPr>
      </w:pPr>
    </w:p>
    <w:p w14:paraId="5F835038" w14:textId="3CE3176E" w:rsidR="001E0444" w:rsidRPr="001E378F" w:rsidRDefault="002B05C4" w:rsidP="005D5764">
      <w:pPr>
        <w:pStyle w:val="Paragraphedeliste"/>
        <w:numPr>
          <w:ilvl w:val="0"/>
          <w:numId w:val="8"/>
        </w:numPr>
        <w:jc w:val="both"/>
        <w:rPr>
          <w:rFonts w:asciiTheme="majorHAnsi" w:hAnsiTheme="majorHAnsi"/>
          <w:sz w:val="22"/>
          <w:szCs w:val="22"/>
        </w:rPr>
      </w:pPr>
      <w:r w:rsidRPr="001E378F">
        <w:rPr>
          <w:rFonts w:asciiTheme="majorHAnsi" w:hAnsiTheme="majorHAnsi"/>
          <w:sz w:val="22"/>
          <w:szCs w:val="22"/>
        </w:rPr>
        <w:t>la</w:t>
      </w:r>
      <w:r w:rsidR="00C63557" w:rsidRPr="001E378F">
        <w:rPr>
          <w:rFonts w:asciiTheme="majorHAnsi" w:hAnsiTheme="majorHAnsi"/>
          <w:sz w:val="22"/>
          <w:szCs w:val="22"/>
        </w:rPr>
        <w:t xml:space="preserve"> </w:t>
      </w:r>
      <w:r w:rsidRPr="001E378F">
        <w:rPr>
          <w:rFonts w:asciiTheme="majorHAnsi" w:hAnsiTheme="majorHAnsi"/>
          <w:sz w:val="22"/>
          <w:szCs w:val="22"/>
        </w:rPr>
        <w:t>place des</w:t>
      </w:r>
      <w:r w:rsidR="00C63557" w:rsidRPr="001E378F">
        <w:rPr>
          <w:rFonts w:asciiTheme="majorHAnsi" w:hAnsiTheme="majorHAnsi"/>
          <w:sz w:val="22"/>
          <w:szCs w:val="22"/>
        </w:rPr>
        <w:t xml:space="preserve"> </w:t>
      </w:r>
      <w:r w:rsidR="00C63557" w:rsidRPr="001E378F">
        <w:rPr>
          <w:rFonts w:asciiTheme="majorHAnsi" w:hAnsiTheme="majorHAnsi" w:cs="Times New Roman"/>
          <w:sz w:val="22"/>
          <w:szCs w:val="22"/>
        </w:rPr>
        <w:t>É</w:t>
      </w:r>
      <w:r w:rsidR="00C63557" w:rsidRPr="001E378F">
        <w:rPr>
          <w:rFonts w:asciiTheme="majorHAnsi" w:hAnsiTheme="majorHAnsi"/>
          <w:sz w:val="22"/>
          <w:szCs w:val="22"/>
        </w:rPr>
        <w:t>criture</w:t>
      </w:r>
      <w:r w:rsidRPr="001E378F">
        <w:rPr>
          <w:rFonts w:asciiTheme="majorHAnsi" w:hAnsiTheme="majorHAnsi"/>
          <w:sz w:val="22"/>
          <w:szCs w:val="22"/>
        </w:rPr>
        <w:t>s</w:t>
      </w:r>
      <w:r w:rsidR="00C63557" w:rsidRPr="001E378F">
        <w:rPr>
          <w:rFonts w:asciiTheme="majorHAnsi" w:hAnsiTheme="majorHAnsi"/>
          <w:sz w:val="22"/>
          <w:szCs w:val="22"/>
        </w:rPr>
        <w:t xml:space="preserve"> chez </w:t>
      </w:r>
      <w:r w:rsidR="001E0444" w:rsidRPr="001E378F">
        <w:rPr>
          <w:rFonts w:asciiTheme="majorHAnsi" w:hAnsiTheme="majorHAnsi"/>
          <w:sz w:val="22"/>
          <w:szCs w:val="22"/>
        </w:rPr>
        <w:t xml:space="preserve">Irénée </w:t>
      </w:r>
      <w:r w:rsidR="00C63557" w:rsidRPr="001E378F">
        <w:rPr>
          <w:rFonts w:asciiTheme="majorHAnsi" w:hAnsiTheme="majorHAnsi"/>
          <w:sz w:val="22"/>
          <w:szCs w:val="22"/>
        </w:rPr>
        <w:t xml:space="preserve">de Lyon </w:t>
      </w:r>
      <w:r w:rsidR="001E37A2" w:rsidRPr="001E378F">
        <w:rPr>
          <w:rFonts w:asciiTheme="majorHAnsi" w:hAnsiTheme="majorHAnsi"/>
          <w:sz w:val="22"/>
          <w:szCs w:val="22"/>
        </w:rPr>
        <w:t>(</w:t>
      </w:r>
      <w:r w:rsidR="001E0444" w:rsidRPr="001E378F">
        <w:rPr>
          <w:rFonts w:asciiTheme="majorHAnsi" w:hAnsiTheme="majorHAnsi"/>
          <w:smallCaps/>
          <w:sz w:val="22"/>
          <w:szCs w:val="22"/>
        </w:rPr>
        <w:t>ii</w:t>
      </w:r>
      <w:r w:rsidR="001E0444" w:rsidRPr="001E378F">
        <w:rPr>
          <w:rFonts w:asciiTheme="majorHAnsi" w:hAnsiTheme="majorHAnsi"/>
          <w:sz w:val="22"/>
          <w:szCs w:val="22"/>
          <w:vertAlign w:val="superscript"/>
        </w:rPr>
        <w:t>e</w:t>
      </w:r>
      <w:r w:rsidR="005D5764" w:rsidRPr="001E378F">
        <w:rPr>
          <w:rFonts w:asciiTheme="majorHAnsi" w:hAnsiTheme="majorHAnsi"/>
          <w:sz w:val="22"/>
          <w:szCs w:val="22"/>
        </w:rPr>
        <w:t xml:space="preserve"> siècle</w:t>
      </w:r>
      <w:r w:rsidR="001E37A2" w:rsidRPr="001E378F">
        <w:rPr>
          <w:rFonts w:asciiTheme="majorHAnsi" w:hAnsiTheme="majorHAnsi"/>
          <w:sz w:val="22"/>
          <w:szCs w:val="22"/>
        </w:rPr>
        <w:t>)</w:t>
      </w:r>
    </w:p>
    <w:p w14:paraId="32A0F36F" w14:textId="50C41A7C" w:rsidR="001E0444" w:rsidRPr="001E378F" w:rsidRDefault="001E0444" w:rsidP="005D5764">
      <w:pPr>
        <w:pStyle w:val="Paragraphedeliste"/>
        <w:numPr>
          <w:ilvl w:val="0"/>
          <w:numId w:val="8"/>
        </w:numPr>
        <w:jc w:val="both"/>
        <w:rPr>
          <w:rFonts w:asciiTheme="majorHAnsi" w:hAnsiTheme="majorHAnsi"/>
          <w:sz w:val="22"/>
          <w:szCs w:val="22"/>
        </w:rPr>
      </w:pPr>
      <w:r w:rsidRPr="001E378F">
        <w:rPr>
          <w:rFonts w:asciiTheme="majorHAnsi" w:hAnsiTheme="majorHAnsi"/>
          <w:sz w:val="22"/>
          <w:szCs w:val="22"/>
        </w:rPr>
        <w:t xml:space="preserve">les </w:t>
      </w:r>
      <w:r w:rsidR="001E378F" w:rsidRPr="001E378F">
        <w:rPr>
          <w:rFonts w:asciiTheme="majorHAnsi" w:hAnsiTheme="majorHAnsi"/>
          <w:sz w:val="22"/>
          <w:szCs w:val="22"/>
        </w:rPr>
        <w:t>dix</w:t>
      </w:r>
      <w:r w:rsidRPr="001E378F">
        <w:rPr>
          <w:rFonts w:asciiTheme="majorHAnsi" w:hAnsiTheme="majorHAnsi"/>
          <w:sz w:val="22"/>
          <w:szCs w:val="22"/>
        </w:rPr>
        <w:t xml:space="preserve"> lieux </w:t>
      </w:r>
      <w:r w:rsidR="00C63557" w:rsidRPr="001E378F">
        <w:rPr>
          <w:rFonts w:asciiTheme="majorHAnsi" w:hAnsiTheme="majorHAnsi"/>
          <w:sz w:val="22"/>
          <w:szCs w:val="22"/>
        </w:rPr>
        <w:t xml:space="preserve">théologiques </w:t>
      </w:r>
      <w:r w:rsidR="001E378F">
        <w:rPr>
          <w:rFonts w:asciiTheme="majorHAnsi" w:hAnsiTheme="majorHAnsi"/>
          <w:sz w:val="22"/>
          <w:szCs w:val="22"/>
        </w:rPr>
        <w:t>synthétisés</w:t>
      </w:r>
      <w:r w:rsidR="00C63557" w:rsidRPr="001E378F">
        <w:rPr>
          <w:rFonts w:asciiTheme="majorHAnsi" w:hAnsiTheme="majorHAnsi"/>
          <w:sz w:val="22"/>
          <w:szCs w:val="22"/>
        </w:rPr>
        <w:t xml:space="preserve"> par</w:t>
      </w:r>
      <w:r w:rsidRPr="001E378F">
        <w:rPr>
          <w:rFonts w:asciiTheme="majorHAnsi" w:hAnsiTheme="majorHAnsi"/>
          <w:sz w:val="22"/>
          <w:szCs w:val="22"/>
        </w:rPr>
        <w:t xml:space="preserve"> Mechior Cano </w:t>
      </w:r>
      <w:r w:rsidR="001E37A2" w:rsidRPr="001E378F">
        <w:rPr>
          <w:rFonts w:asciiTheme="majorHAnsi" w:hAnsiTheme="majorHAnsi"/>
          <w:sz w:val="22"/>
          <w:szCs w:val="22"/>
        </w:rPr>
        <w:t>(</w:t>
      </w:r>
      <w:r w:rsidRPr="001E378F">
        <w:rPr>
          <w:rFonts w:asciiTheme="majorHAnsi" w:hAnsiTheme="majorHAnsi"/>
          <w:smallCaps/>
          <w:sz w:val="22"/>
          <w:szCs w:val="22"/>
        </w:rPr>
        <w:t>xvi</w:t>
      </w:r>
      <w:r w:rsidRPr="001E378F">
        <w:rPr>
          <w:rFonts w:asciiTheme="majorHAnsi" w:hAnsiTheme="majorHAnsi"/>
          <w:sz w:val="22"/>
          <w:szCs w:val="22"/>
          <w:vertAlign w:val="superscript"/>
        </w:rPr>
        <w:t>e</w:t>
      </w:r>
      <w:r w:rsidR="005D5764" w:rsidRPr="001E378F">
        <w:rPr>
          <w:rFonts w:asciiTheme="majorHAnsi" w:hAnsiTheme="majorHAnsi"/>
          <w:sz w:val="22"/>
          <w:szCs w:val="22"/>
        </w:rPr>
        <w:t xml:space="preserve"> siècle</w:t>
      </w:r>
      <w:r w:rsidR="001E37A2" w:rsidRPr="001E378F">
        <w:rPr>
          <w:rFonts w:asciiTheme="majorHAnsi" w:hAnsiTheme="majorHAnsi"/>
          <w:sz w:val="22"/>
          <w:szCs w:val="22"/>
        </w:rPr>
        <w:t>)</w:t>
      </w:r>
    </w:p>
    <w:p w14:paraId="63A7B5C0" w14:textId="37ECEC91" w:rsidR="001E0444" w:rsidRPr="001E378F" w:rsidRDefault="001E0444" w:rsidP="005D5764">
      <w:pPr>
        <w:pStyle w:val="Paragraphedeliste"/>
        <w:numPr>
          <w:ilvl w:val="0"/>
          <w:numId w:val="8"/>
        </w:numPr>
        <w:jc w:val="both"/>
        <w:rPr>
          <w:rFonts w:asciiTheme="majorHAnsi" w:hAnsiTheme="majorHAnsi"/>
          <w:sz w:val="22"/>
          <w:szCs w:val="22"/>
        </w:rPr>
      </w:pPr>
      <w:r w:rsidRPr="001E378F">
        <w:rPr>
          <w:rFonts w:asciiTheme="majorHAnsi" w:hAnsiTheme="majorHAnsi"/>
          <w:sz w:val="22"/>
          <w:szCs w:val="22"/>
        </w:rPr>
        <w:t>les lieu</w:t>
      </w:r>
      <w:r w:rsidR="00C63557" w:rsidRPr="001E378F">
        <w:rPr>
          <w:rFonts w:asciiTheme="majorHAnsi" w:hAnsiTheme="majorHAnsi"/>
          <w:sz w:val="22"/>
          <w:szCs w:val="22"/>
        </w:rPr>
        <w:t xml:space="preserve">x théologiques en acte </w:t>
      </w:r>
      <w:r w:rsidR="001E378F">
        <w:rPr>
          <w:rFonts w:asciiTheme="majorHAnsi" w:hAnsiTheme="majorHAnsi"/>
          <w:sz w:val="22"/>
          <w:szCs w:val="22"/>
        </w:rPr>
        <w:t>rappelés par</w:t>
      </w:r>
      <w:r w:rsidR="00C63557" w:rsidRPr="001E378F">
        <w:rPr>
          <w:rFonts w:asciiTheme="majorHAnsi" w:hAnsiTheme="majorHAnsi"/>
          <w:sz w:val="22"/>
          <w:szCs w:val="22"/>
        </w:rPr>
        <w:t xml:space="preserve"> Marie-</w:t>
      </w:r>
      <w:r w:rsidRPr="001E378F">
        <w:rPr>
          <w:rFonts w:asciiTheme="majorHAnsi" w:hAnsiTheme="majorHAnsi"/>
          <w:sz w:val="22"/>
          <w:szCs w:val="22"/>
        </w:rPr>
        <w:t xml:space="preserve">Dominique Chenu </w:t>
      </w:r>
      <w:r w:rsidR="001E37A2" w:rsidRPr="001E378F">
        <w:rPr>
          <w:rFonts w:asciiTheme="majorHAnsi" w:hAnsiTheme="majorHAnsi"/>
          <w:sz w:val="22"/>
          <w:szCs w:val="22"/>
        </w:rPr>
        <w:t>(</w:t>
      </w:r>
      <w:r w:rsidRPr="001E378F">
        <w:rPr>
          <w:rFonts w:asciiTheme="majorHAnsi" w:hAnsiTheme="majorHAnsi"/>
          <w:smallCaps/>
          <w:sz w:val="22"/>
          <w:szCs w:val="22"/>
        </w:rPr>
        <w:t>xx</w:t>
      </w:r>
      <w:r w:rsidRPr="001E378F">
        <w:rPr>
          <w:rFonts w:asciiTheme="majorHAnsi" w:hAnsiTheme="majorHAnsi"/>
          <w:sz w:val="22"/>
          <w:szCs w:val="22"/>
          <w:vertAlign w:val="superscript"/>
        </w:rPr>
        <w:t>e</w:t>
      </w:r>
      <w:r w:rsidR="005D5764" w:rsidRPr="001E378F">
        <w:rPr>
          <w:rFonts w:asciiTheme="majorHAnsi" w:hAnsiTheme="majorHAnsi"/>
          <w:sz w:val="22"/>
          <w:szCs w:val="22"/>
        </w:rPr>
        <w:t xml:space="preserve"> siècle</w:t>
      </w:r>
      <w:r w:rsidR="001E37A2" w:rsidRPr="001E378F">
        <w:rPr>
          <w:rFonts w:asciiTheme="majorHAnsi" w:hAnsiTheme="majorHAnsi"/>
          <w:sz w:val="22"/>
          <w:szCs w:val="22"/>
        </w:rPr>
        <w:t>)</w:t>
      </w:r>
    </w:p>
    <w:p w14:paraId="12265936" w14:textId="77777777" w:rsidR="005D5764" w:rsidRDefault="005D5764" w:rsidP="0058722F">
      <w:pPr>
        <w:rPr>
          <w:rFonts w:asciiTheme="majorHAnsi" w:hAnsiTheme="majorHAnsi"/>
          <w:sz w:val="22"/>
          <w:szCs w:val="22"/>
        </w:rPr>
      </w:pPr>
    </w:p>
    <w:p w14:paraId="1D153A00" w14:textId="77777777" w:rsidR="006E6BF9" w:rsidRPr="003153EC" w:rsidRDefault="006E6BF9" w:rsidP="0058722F">
      <w:pPr>
        <w:rPr>
          <w:rFonts w:asciiTheme="majorHAnsi" w:hAnsiTheme="majorHAnsi"/>
          <w:sz w:val="22"/>
          <w:szCs w:val="22"/>
        </w:rPr>
      </w:pPr>
      <w:bookmarkStart w:id="0" w:name="_GoBack"/>
      <w:bookmarkEnd w:id="0"/>
    </w:p>
    <w:p w14:paraId="46F6557B" w14:textId="4BCDCB3D" w:rsidR="00C63557" w:rsidRPr="006E6BF9" w:rsidRDefault="00C63557" w:rsidP="006E6BF9">
      <w:pPr>
        <w:pStyle w:val="Paragraphedeliste"/>
        <w:numPr>
          <w:ilvl w:val="0"/>
          <w:numId w:val="11"/>
        </w:numPr>
        <w:rPr>
          <w:rFonts w:asciiTheme="majorHAnsi" w:hAnsiTheme="majorHAnsi" w:cs="Times New Roman"/>
          <w:b/>
          <w:sz w:val="28"/>
          <w:szCs w:val="28"/>
        </w:rPr>
      </w:pPr>
      <w:r w:rsidRPr="006E6BF9">
        <w:rPr>
          <w:rFonts w:asciiTheme="majorHAnsi" w:hAnsiTheme="majorHAnsi"/>
          <w:b/>
          <w:sz w:val="28"/>
          <w:szCs w:val="28"/>
        </w:rPr>
        <w:t>L</w:t>
      </w:r>
      <w:r w:rsidR="002B05C4" w:rsidRPr="006E6BF9">
        <w:rPr>
          <w:rFonts w:asciiTheme="majorHAnsi" w:hAnsiTheme="majorHAnsi"/>
          <w:b/>
          <w:sz w:val="28"/>
          <w:szCs w:val="28"/>
        </w:rPr>
        <w:t xml:space="preserve">a place </w:t>
      </w:r>
      <w:r w:rsidR="003006E1" w:rsidRPr="006E6BF9">
        <w:rPr>
          <w:rFonts w:asciiTheme="majorHAnsi" w:hAnsiTheme="majorHAnsi"/>
          <w:b/>
          <w:sz w:val="28"/>
          <w:szCs w:val="28"/>
        </w:rPr>
        <w:t xml:space="preserve">unique </w:t>
      </w:r>
      <w:r w:rsidR="002B05C4" w:rsidRPr="006E6BF9">
        <w:rPr>
          <w:rFonts w:asciiTheme="majorHAnsi" w:hAnsiTheme="majorHAnsi"/>
          <w:b/>
          <w:sz w:val="28"/>
          <w:szCs w:val="28"/>
        </w:rPr>
        <w:t>des</w:t>
      </w:r>
      <w:r w:rsidRPr="006E6BF9">
        <w:rPr>
          <w:rFonts w:asciiTheme="majorHAnsi" w:hAnsiTheme="majorHAnsi"/>
          <w:b/>
          <w:sz w:val="28"/>
          <w:szCs w:val="28"/>
        </w:rPr>
        <w:t xml:space="preserve"> </w:t>
      </w:r>
      <w:r w:rsidRPr="006E6BF9">
        <w:rPr>
          <w:rFonts w:asciiTheme="majorHAnsi" w:hAnsiTheme="majorHAnsi" w:cs="Times New Roman"/>
          <w:b/>
          <w:sz w:val="28"/>
          <w:szCs w:val="28"/>
        </w:rPr>
        <w:t>Écriture</w:t>
      </w:r>
      <w:r w:rsidR="002B05C4" w:rsidRPr="006E6BF9">
        <w:rPr>
          <w:rFonts w:asciiTheme="majorHAnsi" w:hAnsiTheme="majorHAnsi" w:cs="Times New Roman"/>
          <w:b/>
          <w:sz w:val="28"/>
          <w:szCs w:val="28"/>
        </w:rPr>
        <w:t xml:space="preserve">s </w:t>
      </w:r>
    </w:p>
    <w:p w14:paraId="78C5001F" w14:textId="77777777" w:rsidR="006E6BF9" w:rsidRPr="00C63557" w:rsidRDefault="006E6BF9" w:rsidP="0058722F">
      <w:pPr>
        <w:rPr>
          <w:rFonts w:asciiTheme="majorHAnsi" w:hAnsiTheme="majorHAnsi" w:cs="Times New Roman"/>
          <w:b/>
          <w:sz w:val="28"/>
          <w:szCs w:val="28"/>
        </w:rPr>
      </w:pPr>
    </w:p>
    <w:p w14:paraId="34196F38" w14:textId="173C5204" w:rsidR="00C63557" w:rsidRPr="001E378F" w:rsidRDefault="001E378F" w:rsidP="003153EC">
      <w:pPr>
        <w:jc w:val="both"/>
        <w:rPr>
          <w:rFonts w:asciiTheme="majorHAnsi" w:hAnsiTheme="majorHAnsi" w:cs="Times New Roman"/>
        </w:rPr>
      </w:pPr>
      <w:r w:rsidRPr="001E378F">
        <w:rPr>
          <w:rFonts w:asciiTheme="majorHAnsi" w:hAnsiTheme="majorHAnsi" w:cs="Times New Roman"/>
          <w:smallCaps/>
        </w:rPr>
        <w:t>Irénée de Lyon</w:t>
      </w:r>
      <w:r w:rsidRPr="001E378F">
        <w:rPr>
          <w:rFonts w:asciiTheme="majorHAnsi" w:hAnsiTheme="majorHAnsi" w:cs="Times New Roman"/>
        </w:rPr>
        <w:t xml:space="preserve">, </w:t>
      </w:r>
      <w:r w:rsidRPr="001E378F">
        <w:rPr>
          <w:rFonts w:asciiTheme="majorHAnsi" w:hAnsiTheme="majorHAnsi" w:cs="Times New Roman"/>
          <w:i/>
        </w:rPr>
        <w:t>Adversus Haereses (Contre les hérésies)</w:t>
      </w:r>
      <w:r w:rsidRPr="001E378F">
        <w:rPr>
          <w:rFonts w:asciiTheme="majorHAnsi" w:hAnsiTheme="majorHAnsi" w:cs="Times New Roman"/>
        </w:rPr>
        <w:t>, autour des années 180, tr. fr. Adelin Rousseau, Paris, Cerf, 1991, Livre III, 1, 1 :</w:t>
      </w:r>
    </w:p>
    <w:p w14:paraId="46347816" w14:textId="7B7E025A" w:rsidR="002B05C4" w:rsidRPr="003153EC" w:rsidRDefault="003153EC" w:rsidP="003153EC">
      <w:pPr>
        <w:jc w:val="both"/>
        <w:rPr>
          <w:rFonts w:asciiTheme="majorHAnsi" w:hAnsiTheme="majorHAnsi" w:cs="Times New Roman"/>
          <w:sz w:val="22"/>
          <w:szCs w:val="22"/>
        </w:rPr>
      </w:pPr>
      <w:r w:rsidRPr="001E378F">
        <w:rPr>
          <w:rFonts w:asciiTheme="majorHAnsi" w:hAnsiTheme="majorHAnsi" w:cs="Times New Roman"/>
          <w:sz w:val="22"/>
          <w:szCs w:val="22"/>
        </w:rPr>
        <w:t>« Le Seigneur de toute chose a en effet donné à ses apôtres le pouvoir d’annoncer l’Évangile, et c’est par eux que nous avons connu la vérité, c’est-à-dire l’enseignement du Fils de Dieu. C’est aussi à eux que le Seigneur a dit : ‘qui vous écoute m’écoute et qui vous méprise me méprise et méprise Celui qui m’a envoyé’. Car ce n’est pas par d’autres que nous avons connu ‘l’économie’ de notre salut, mais bien par ceux par qui l’Évangile nous est parvenu. Cet Évangile ils l’ont d’abord prêché ; ensuite, par la volonté de Dieu, ils nous l’ont transmis dans des Écritures, pour qu’il soit le fondeme</w:t>
      </w:r>
      <w:r w:rsidR="001E378F">
        <w:rPr>
          <w:rFonts w:asciiTheme="majorHAnsi" w:hAnsiTheme="majorHAnsi" w:cs="Times New Roman"/>
          <w:sz w:val="22"/>
          <w:szCs w:val="22"/>
        </w:rPr>
        <w:t>nt et la colonne de notre foi ».</w:t>
      </w:r>
      <w:r w:rsidRPr="003153EC">
        <w:rPr>
          <w:rFonts w:asciiTheme="majorHAnsi" w:hAnsiTheme="majorHAnsi" w:cs="Times New Roman"/>
          <w:sz w:val="22"/>
          <w:szCs w:val="22"/>
        </w:rPr>
        <w:t xml:space="preserve"> </w:t>
      </w:r>
    </w:p>
    <w:p w14:paraId="15753195" w14:textId="77777777" w:rsidR="00C63557" w:rsidRDefault="00C63557" w:rsidP="003153EC">
      <w:pPr>
        <w:jc w:val="both"/>
        <w:rPr>
          <w:rFonts w:asciiTheme="majorHAnsi" w:hAnsiTheme="majorHAnsi"/>
          <w:sz w:val="22"/>
          <w:szCs w:val="22"/>
        </w:rPr>
      </w:pPr>
    </w:p>
    <w:p w14:paraId="35E56B79" w14:textId="024098F9" w:rsidR="00C37F2F" w:rsidRPr="001E378F" w:rsidRDefault="001E378F" w:rsidP="003153EC">
      <w:pPr>
        <w:jc w:val="both"/>
        <w:rPr>
          <w:rFonts w:asciiTheme="majorHAnsi" w:hAnsiTheme="majorHAnsi"/>
          <w:b/>
          <w:sz w:val="22"/>
          <w:szCs w:val="22"/>
        </w:rPr>
      </w:pPr>
      <w:r>
        <w:rPr>
          <w:rFonts w:asciiTheme="majorHAnsi" w:hAnsiTheme="majorHAnsi"/>
          <w:b/>
          <w:sz w:val="22"/>
          <w:szCs w:val="22"/>
        </w:rPr>
        <w:t xml:space="preserve">Remarques sur le caractère de l’écriture dans le Nouveau Testament </w:t>
      </w:r>
    </w:p>
    <w:p w14:paraId="055635B5" w14:textId="1E27399F" w:rsidR="0051746A" w:rsidRDefault="0051746A" w:rsidP="003153EC">
      <w:pPr>
        <w:jc w:val="both"/>
        <w:rPr>
          <w:rFonts w:asciiTheme="majorHAnsi" w:hAnsiTheme="majorHAnsi"/>
        </w:rPr>
      </w:pPr>
      <w:r>
        <w:rPr>
          <w:rFonts w:asciiTheme="majorHAnsi" w:hAnsiTheme="majorHAnsi"/>
        </w:rPr>
        <w:t>cf.</w:t>
      </w:r>
      <w:r w:rsidR="00C37F2F" w:rsidRPr="0051746A">
        <w:rPr>
          <w:rFonts w:asciiTheme="majorHAnsi" w:hAnsiTheme="majorHAnsi"/>
        </w:rPr>
        <w:t xml:space="preserve"> Daniel </w:t>
      </w:r>
      <w:r w:rsidR="00C37F2F" w:rsidRPr="0051746A">
        <w:rPr>
          <w:rFonts w:asciiTheme="majorHAnsi" w:hAnsiTheme="majorHAnsi"/>
          <w:smallCaps/>
        </w:rPr>
        <w:t>Marguerat</w:t>
      </w:r>
      <w:r w:rsidR="00C37F2F" w:rsidRPr="0051746A">
        <w:rPr>
          <w:rFonts w:asciiTheme="majorHAnsi" w:hAnsiTheme="majorHAnsi"/>
        </w:rPr>
        <w:t xml:space="preserve">, « A l’origine fut la lettre... », in </w:t>
      </w:r>
      <w:r w:rsidR="00C37F2F" w:rsidRPr="0051746A">
        <w:rPr>
          <w:rFonts w:asciiTheme="majorHAnsi" w:hAnsiTheme="majorHAnsi"/>
          <w:i/>
        </w:rPr>
        <w:t>Aux origines de la Bible</w:t>
      </w:r>
      <w:r w:rsidR="00C37F2F" w:rsidRPr="0051746A">
        <w:rPr>
          <w:rFonts w:asciiTheme="majorHAnsi" w:hAnsiTheme="majorHAnsi"/>
        </w:rPr>
        <w:t>, Paris, Bayard-Le monde de la Bible, 2007, p. 129-136</w:t>
      </w:r>
      <w:r>
        <w:rPr>
          <w:rFonts w:asciiTheme="majorHAnsi" w:hAnsiTheme="majorHAnsi"/>
        </w:rPr>
        <w:t> :</w:t>
      </w:r>
    </w:p>
    <w:p w14:paraId="1EB0080C" w14:textId="40135F0F" w:rsidR="001E378F" w:rsidRDefault="001E378F" w:rsidP="001E378F">
      <w:pPr>
        <w:jc w:val="both"/>
        <w:rPr>
          <w:rFonts w:asciiTheme="majorHAnsi" w:hAnsiTheme="majorHAnsi"/>
          <w:sz w:val="22"/>
          <w:szCs w:val="22"/>
        </w:rPr>
      </w:pPr>
      <w:r>
        <w:rPr>
          <w:rFonts w:asciiTheme="majorHAnsi" w:hAnsiTheme="majorHAnsi"/>
          <w:sz w:val="22"/>
          <w:szCs w:val="22"/>
        </w:rPr>
        <w:t xml:space="preserve">p. 130 : </w:t>
      </w:r>
      <w:r w:rsidRPr="001E378F">
        <w:rPr>
          <w:rFonts w:asciiTheme="majorHAnsi" w:hAnsiTheme="majorHAnsi"/>
          <w:sz w:val="22"/>
          <w:szCs w:val="22"/>
        </w:rPr>
        <w:t>« </w:t>
      </w:r>
      <w:r w:rsidR="0051746A" w:rsidRPr="001E378F">
        <w:rPr>
          <w:rFonts w:asciiTheme="majorHAnsi" w:hAnsiTheme="majorHAnsi"/>
          <w:sz w:val="22"/>
          <w:szCs w:val="22"/>
        </w:rPr>
        <w:t>I</w:t>
      </w:r>
      <w:r w:rsidR="00C37F2F" w:rsidRPr="001E378F">
        <w:rPr>
          <w:rFonts w:asciiTheme="majorHAnsi" w:hAnsiTheme="majorHAnsi"/>
          <w:sz w:val="22"/>
          <w:szCs w:val="22"/>
        </w:rPr>
        <w:t>l existe des collections de paroles de Jésus, des parab</w:t>
      </w:r>
      <w:r w:rsidR="0051746A" w:rsidRPr="001E378F">
        <w:rPr>
          <w:rFonts w:asciiTheme="majorHAnsi" w:hAnsiTheme="majorHAnsi"/>
          <w:sz w:val="22"/>
          <w:szCs w:val="22"/>
        </w:rPr>
        <w:t>oles, des cycles de miracles. T</w:t>
      </w:r>
      <w:r w:rsidR="00C37F2F" w:rsidRPr="001E378F">
        <w:rPr>
          <w:rFonts w:asciiTheme="majorHAnsi" w:hAnsiTheme="majorHAnsi"/>
          <w:sz w:val="22"/>
          <w:szCs w:val="22"/>
        </w:rPr>
        <w:t>outefois les premiers documents achevés sont des lettres, celles d</w:t>
      </w:r>
      <w:r w:rsidR="0051746A" w:rsidRPr="001E378F">
        <w:rPr>
          <w:rFonts w:asciiTheme="majorHAnsi" w:hAnsiTheme="majorHAnsi"/>
          <w:sz w:val="22"/>
          <w:szCs w:val="22"/>
        </w:rPr>
        <w:t>e Paul (21 des 27 textes du NT</w:t>
      </w:r>
      <w:r w:rsidR="00C37F2F" w:rsidRPr="001E378F">
        <w:rPr>
          <w:rFonts w:asciiTheme="majorHAnsi" w:hAnsiTheme="majorHAnsi"/>
          <w:sz w:val="22"/>
          <w:szCs w:val="22"/>
        </w:rPr>
        <w:t xml:space="preserve">) ; la plus ancienne </w:t>
      </w:r>
      <w:r w:rsidR="00C37F2F" w:rsidRPr="001E378F">
        <w:rPr>
          <w:rFonts w:asciiTheme="majorHAnsi" w:hAnsiTheme="majorHAnsi"/>
          <w:i/>
          <w:sz w:val="22"/>
          <w:szCs w:val="22"/>
        </w:rPr>
        <w:t>1Th</w:t>
      </w:r>
      <w:r w:rsidR="00C37F2F" w:rsidRPr="001E378F">
        <w:rPr>
          <w:rFonts w:asciiTheme="majorHAnsi" w:hAnsiTheme="majorHAnsi"/>
          <w:sz w:val="22"/>
          <w:szCs w:val="22"/>
        </w:rPr>
        <w:t xml:space="preserve"> </w:t>
      </w:r>
      <w:r w:rsidR="0051746A" w:rsidRPr="001E378F">
        <w:rPr>
          <w:rFonts w:asciiTheme="majorHAnsi" w:hAnsiTheme="majorHAnsi"/>
          <w:sz w:val="22"/>
          <w:szCs w:val="22"/>
        </w:rPr>
        <w:t>date des années 50,</w:t>
      </w:r>
      <w:r w:rsidR="00C37F2F" w:rsidRPr="001E378F">
        <w:rPr>
          <w:rFonts w:asciiTheme="majorHAnsi" w:hAnsiTheme="majorHAnsi"/>
          <w:sz w:val="22"/>
          <w:szCs w:val="22"/>
        </w:rPr>
        <w:t xml:space="preserve"> écrite par Paul, Sylvain et Timothée et la plus récente dans le canon est la </w:t>
      </w:r>
      <w:r w:rsidR="00C37F2F" w:rsidRPr="001E378F">
        <w:rPr>
          <w:rFonts w:asciiTheme="majorHAnsi" w:hAnsiTheme="majorHAnsi"/>
          <w:i/>
          <w:sz w:val="22"/>
          <w:szCs w:val="22"/>
        </w:rPr>
        <w:t>2P</w:t>
      </w:r>
      <w:r w:rsidR="0051746A" w:rsidRPr="001E378F">
        <w:rPr>
          <w:rFonts w:asciiTheme="majorHAnsi" w:hAnsiTheme="majorHAnsi"/>
          <w:i/>
          <w:sz w:val="22"/>
          <w:szCs w:val="22"/>
        </w:rPr>
        <w:t>,</w:t>
      </w:r>
      <w:r w:rsidR="00C37F2F" w:rsidRPr="001E378F">
        <w:rPr>
          <w:rFonts w:asciiTheme="majorHAnsi" w:hAnsiTheme="majorHAnsi"/>
          <w:sz w:val="22"/>
          <w:szCs w:val="22"/>
        </w:rPr>
        <w:t xml:space="preserve"> </w:t>
      </w:r>
      <w:r w:rsidR="0051746A" w:rsidRPr="001E378F">
        <w:rPr>
          <w:rFonts w:asciiTheme="majorHAnsi" w:hAnsiTheme="majorHAnsi"/>
          <w:sz w:val="22"/>
          <w:szCs w:val="22"/>
        </w:rPr>
        <w:t>écrite au</w:t>
      </w:r>
      <w:r w:rsidR="00C37F2F" w:rsidRPr="001E378F">
        <w:rPr>
          <w:rFonts w:asciiTheme="majorHAnsi" w:hAnsiTheme="majorHAnsi"/>
          <w:sz w:val="22"/>
          <w:szCs w:val="22"/>
        </w:rPr>
        <w:t xml:space="preserve"> début du IIe siècle.</w:t>
      </w:r>
      <w:r w:rsidR="0051746A" w:rsidRPr="001E378F">
        <w:rPr>
          <w:rFonts w:asciiTheme="majorHAnsi" w:hAnsiTheme="majorHAnsi"/>
          <w:sz w:val="22"/>
          <w:szCs w:val="22"/>
        </w:rPr>
        <w:t xml:space="preserve"> Pourquoi des lettres ? P</w:t>
      </w:r>
      <w:r w:rsidR="00C37F2F" w:rsidRPr="001E378F">
        <w:rPr>
          <w:rFonts w:asciiTheme="majorHAnsi" w:hAnsiTheme="majorHAnsi"/>
          <w:sz w:val="22"/>
          <w:szCs w:val="22"/>
        </w:rPr>
        <w:t>our répondre à</w:t>
      </w:r>
      <w:r w:rsidR="00C37F2F">
        <w:rPr>
          <w:rFonts w:asciiTheme="majorHAnsi" w:hAnsiTheme="majorHAnsi"/>
          <w:sz w:val="22"/>
          <w:szCs w:val="22"/>
        </w:rPr>
        <w:t xml:space="preserve"> des demandes et résoudre des tensions ; la lettre « comme un substitut de présence </w:t>
      </w:r>
      <w:r w:rsidR="0051746A">
        <w:rPr>
          <w:rFonts w:ascii="Calibri" w:hAnsi="Calibri"/>
          <w:sz w:val="22"/>
          <w:szCs w:val="22"/>
        </w:rPr>
        <w:t>[...]</w:t>
      </w:r>
      <w:r w:rsidR="0051746A">
        <w:rPr>
          <w:rFonts w:asciiTheme="majorHAnsi" w:hAnsiTheme="majorHAnsi"/>
          <w:sz w:val="22"/>
          <w:szCs w:val="22"/>
        </w:rPr>
        <w:t>,</w:t>
      </w:r>
      <w:r>
        <w:rPr>
          <w:rFonts w:asciiTheme="majorHAnsi" w:hAnsiTheme="majorHAnsi"/>
          <w:sz w:val="22"/>
          <w:szCs w:val="22"/>
        </w:rPr>
        <w:t xml:space="preserve"> une présence en différé ».</w:t>
      </w:r>
    </w:p>
    <w:p w14:paraId="67F66857" w14:textId="77777777" w:rsidR="001E378F" w:rsidRDefault="001E378F" w:rsidP="003153EC">
      <w:pPr>
        <w:jc w:val="both"/>
        <w:rPr>
          <w:rFonts w:asciiTheme="majorHAnsi" w:hAnsiTheme="majorHAnsi"/>
          <w:i/>
          <w:sz w:val="22"/>
          <w:szCs w:val="22"/>
        </w:rPr>
      </w:pPr>
    </w:p>
    <w:p w14:paraId="6AD1E4E7" w14:textId="159A9FF0" w:rsidR="00C37F2F" w:rsidRDefault="001E378F" w:rsidP="003153EC">
      <w:pPr>
        <w:jc w:val="both"/>
        <w:rPr>
          <w:rFonts w:asciiTheme="majorHAnsi" w:hAnsiTheme="majorHAnsi"/>
          <w:sz w:val="22"/>
          <w:szCs w:val="22"/>
        </w:rPr>
      </w:pPr>
      <w:r w:rsidRPr="0051746A">
        <w:rPr>
          <w:rFonts w:asciiTheme="majorHAnsi" w:hAnsiTheme="majorHAnsi"/>
          <w:i/>
          <w:sz w:val="22"/>
          <w:szCs w:val="22"/>
        </w:rPr>
        <w:t>Ibid</w:t>
      </w:r>
      <w:r>
        <w:rPr>
          <w:rFonts w:asciiTheme="majorHAnsi" w:hAnsiTheme="majorHAnsi"/>
          <w:sz w:val="22"/>
          <w:szCs w:val="22"/>
        </w:rPr>
        <w:t xml:space="preserve">., </w:t>
      </w:r>
      <w:r w:rsidRPr="001E378F">
        <w:rPr>
          <w:rFonts w:asciiTheme="majorHAnsi" w:hAnsiTheme="majorHAnsi"/>
          <w:sz w:val="22"/>
          <w:szCs w:val="22"/>
        </w:rPr>
        <w:t>p. 134</w:t>
      </w:r>
      <w:r>
        <w:rPr>
          <w:rFonts w:asciiTheme="majorHAnsi" w:hAnsiTheme="majorHAnsi"/>
          <w:sz w:val="22"/>
          <w:szCs w:val="22"/>
        </w:rPr>
        <w:t xml:space="preserve"> : </w:t>
      </w:r>
      <w:r w:rsidR="0051746A">
        <w:rPr>
          <w:rFonts w:asciiTheme="majorHAnsi" w:hAnsiTheme="majorHAnsi"/>
          <w:sz w:val="22"/>
          <w:szCs w:val="22"/>
        </w:rPr>
        <w:t>L</w:t>
      </w:r>
      <w:r w:rsidR="00EB52C1">
        <w:rPr>
          <w:rFonts w:asciiTheme="majorHAnsi" w:hAnsiTheme="majorHAnsi"/>
          <w:sz w:val="22"/>
          <w:szCs w:val="22"/>
        </w:rPr>
        <w:t>a rédaction d’une le</w:t>
      </w:r>
      <w:r w:rsidR="0051746A">
        <w:rPr>
          <w:rFonts w:asciiTheme="majorHAnsi" w:hAnsiTheme="majorHAnsi"/>
          <w:sz w:val="22"/>
          <w:szCs w:val="22"/>
        </w:rPr>
        <w:t xml:space="preserve">ttre se fait avec un secrétaire et </w:t>
      </w:r>
      <w:r w:rsidR="00EB52C1">
        <w:rPr>
          <w:rFonts w:asciiTheme="majorHAnsi" w:hAnsiTheme="majorHAnsi"/>
          <w:sz w:val="22"/>
          <w:szCs w:val="22"/>
        </w:rPr>
        <w:t>en plusieurs temps</w:t>
      </w:r>
      <w:r w:rsidR="0051746A">
        <w:rPr>
          <w:rFonts w:asciiTheme="majorHAnsi" w:hAnsiTheme="majorHAnsi"/>
          <w:sz w:val="22"/>
          <w:szCs w:val="22"/>
        </w:rPr>
        <w:t>,</w:t>
      </w:r>
      <w:r w:rsidR="00EB52C1">
        <w:rPr>
          <w:rFonts w:asciiTheme="majorHAnsi" w:hAnsiTheme="majorHAnsi"/>
          <w:sz w:val="22"/>
          <w:szCs w:val="22"/>
        </w:rPr>
        <w:t xml:space="preserve"> probablement avec d’autres et </w:t>
      </w:r>
      <w:r w:rsidR="0051746A">
        <w:rPr>
          <w:rFonts w:asciiTheme="majorHAnsi" w:hAnsiTheme="majorHAnsi"/>
          <w:sz w:val="22"/>
          <w:szCs w:val="22"/>
        </w:rPr>
        <w:t>grâce à</w:t>
      </w:r>
      <w:r w:rsidR="00EB52C1">
        <w:rPr>
          <w:rFonts w:asciiTheme="majorHAnsi" w:hAnsiTheme="majorHAnsi"/>
          <w:sz w:val="22"/>
          <w:szCs w:val="22"/>
        </w:rPr>
        <w:t xml:space="preserve"> des discussions préparatoires. </w:t>
      </w:r>
      <w:r w:rsidR="004B49DA">
        <w:rPr>
          <w:rFonts w:asciiTheme="majorHAnsi" w:hAnsiTheme="majorHAnsi"/>
          <w:sz w:val="22"/>
          <w:szCs w:val="22"/>
        </w:rPr>
        <w:t>E</w:t>
      </w:r>
      <w:r w:rsidR="00EB52C1">
        <w:rPr>
          <w:rFonts w:asciiTheme="majorHAnsi" w:hAnsiTheme="majorHAnsi"/>
          <w:sz w:val="22"/>
          <w:szCs w:val="22"/>
        </w:rPr>
        <w:t>n fait</w:t>
      </w:r>
      <w:r w:rsidR="004B49DA">
        <w:rPr>
          <w:rFonts w:asciiTheme="majorHAnsi" w:hAnsiTheme="majorHAnsi"/>
          <w:sz w:val="22"/>
          <w:szCs w:val="22"/>
        </w:rPr>
        <w:t>,</w:t>
      </w:r>
      <w:r w:rsidR="00EB52C1">
        <w:rPr>
          <w:rFonts w:asciiTheme="majorHAnsi" w:hAnsiTheme="majorHAnsi"/>
          <w:sz w:val="22"/>
          <w:szCs w:val="22"/>
        </w:rPr>
        <w:t xml:space="preserve"> Paul </w:t>
      </w:r>
      <w:r w:rsidR="0051746A">
        <w:rPr>
          <w:rFonts w:asciiTheme="majorHAnsi" w:hAnsiTheme="majorHAnsi"/>
          <w:sz w:val="22"/>
          <w:szCs w:val="22"/>
        </w:rPr>
        <w:t>a eu</w:t>
      </w:r>
      <w:r w:rsidR="00EB52C1">
        <w:rPr>
          <w:rFonts w:asciiTheme="majorHAnsi" w:hAnsiTheme="majorHAnsi"/>
          <w:sz w:val="22"/>
          <w:szCs w:val="22"/>
        </w:rPr>
        <w:t xml:space="preserve"> une activité « d’anima</w:t>
      </w:r>
      <w:r>
        <w:rPr>
          <w:rFonts w:asciiTheme="majorHAnsi" w:hAnsiTheme="majorHAnsi"/>
          <w:sz w:val="22"/>
          <w:szCs w:val="22"/>
        </w:rPr>
        <w:t>teur de réseaux missionnaires </w:t>
      </w:r>
      <w:r>
        <w:rPr>
          <w:rFonts w:ascii="Calibri" w:hAnsi="Calibri"/>
          <w:sz w:val="22"/>
          <w:szCs w:val="22"/>
        </w:rPr>
        <w:t>[...].</w:t>
      </w:r>
      <w:r w:rsidR="004B49DA">
        <w:rPr>
          <w:rFonts w:asciiTheme="majorHAnsi" w:hAnsiTheme="majorHAnsi"/>
          <w:sz w:val="22"/>
          <w:szCs w:val="22"/>
        </w:rPr>
        <w:t> L</w:t>
      </w:r>
      <w:r w:rsidR="00EB52C1">
        <w:rPr>
          <w:rFonts w:asciiTheme="majorHAnsi" w:hAnsiTheme="majorHAnsi"/>
          <w:sz w:val="22"/>
          <w:szCs w:val="22"/>
        </w:rPr>
        <w:t xml:space="preserve">orsqu’il répond à une demande, </w:t>
      </w:r>
      <w:r w:rsidR="0051746A">
        <w:rPr>
          <w:rFonts w:ascii="Calibri" w:hAnsi="Calibri"/>
          <w:sz w:val="22"/>
          <w:szCs w:val="22"/>
        </w:rPr>
        <w:t>[Paul]</w:t>
      </w:r>
      <w:r w:rsidR="0051746A">
        <w:rPr>
          <w:rFonts w:asciiTheme="majorHAnsi" w:hAnsiTheme="majorHAnsi"/>
          <w:sz w:val="22"/>
          <w:szCs w:val="22"/>
        </w:rPr>
        <w:t xml:space="preserve"> entoure</w:t>
      </w:r>
      <w:r w:rsidR="00EB52C1">
        <w:rPr>
          <w:rFonts w:asciiTheme="majorHAnsi" w:hAnsiTheme="majorHAnsi"/>
          <w:sz w:val="22"/>
          <w:szCs w:val="22"/>
        </w:rPr>
        <w:t xml:space="preserve"> son nom d’autres </w:t>
      </w:r>
      <w:r w:rsidR="0051746A">
        <w:rPr>
          <w:rFonts w:asciiTheme="majorHAnsi" w:hAnsiTheme="majorHAnsi"/>
          <w:sz w:val="22"/>
          <w:szCs w:val="22"/>
        </w:rPr>
        <w:t>noms. I</w:t>
      </w:r>
      <w:r w:rsidR="00EB52C1">
        <w:rPr>
          <w:rFonts w:asciiTheme="majorHAnsi" w:hAnsiTheme="majorHAnsi"/>
          <w:sz w:val="22"/>
          <w:szCs w:val="22"/>
        </w:rPr>
        <w:t>l marqu</w:t>
      </w:r>
      <w:r w:rsidR="0051746A">
        <w:rPr>
          <w:rFonts w:asciiTheme="majorHAnsi" w:hAnsiTheme="majorHAnsi"/>
          <w:sz w:val="22"/>
          <w:szCs w:val="22"/>
        </w:rPr>
        <w:t>e</w:t>
      </w:r>
      <w:r w:rsidR="00EB52C1">
        <w:rPr>
          <w:rFonts w:asciiTheme="majorHAnsi" w:hAnsiTheme="majorHAnsi"/>
          <w:sz w:val="22"/>
          <w:szCs w:val="22"/>
        </w:rPr>
        <w:t xml:space="preserve"> ainsi, d’une part, que la parole à transmettre ne lui appartient</w:t>
      </w:r>
      <w:r w:rsidR="0051746A">
        <w:rPr>
          <w:rFonts w:asciiTheme="majorHAnsi" w:hAnsiTheme="majorHAnsi"/>
          <w:sz w:val="22"/>
          <w:szCs w:val="22"/>
        </w:rPr>
        <w:t xml:space="preserve"> pas en propre. Il reconnaît</w:t>
      </w:r>
      <w:r w:rsidR="00EB52C1">
        <w:rPr>
          <w:rFonts w:asciiTheme="majorHAnsi" w:hAnsiTheme="majorHAnsi"/>
          <w:sz w:val="22"/>
          <w:szCs w:val="22"/>
        </w:rPr>
        <w:t xml:space="preserve">, d’autre part, que sa réflexion a été accompagnée par d’autres, discutée avec </w:t>
      </w:r>
      <w:r w:rsidR="0051746A">
        <w:rPr>
          <w:rFonts w:asciiTheme="majorHAnsi" w:hAnsiTheme="majorHAnsi"/>
          <w:sz w:val="22"/>
          <w:szCs w:val="22"/>
        </w:rPr>
        <w:t xml:space="preserve">d’autres, élaborée grâce à eux </w:t>
      </w:r>
      <w:r w:rsidR="00EB52C1">
        <w:rPr>
          <w:rFonts w:asciiTheme="majorHAnsi" w:hAnsiTheme="majorHAnsi"/>
          <w:sz w:val="22"/>
          <w:szCs w:val="22"/>
        </w:rPr>
        <w:t xml:space="preserve">» </w:t>
      </w:r>
    </w:p>
    <w:p w14:paraId="19E6BE4B" w14:textId="77777777" w:rsidR="00EB52C1" w:rsidRDefault="00EB52C1" w:rsidP="003153EC">
      <w:pPr>
        <w:jc w:val="both"/>
        <w:rPr>
          <w:rFonts w:asciiTheme="majorHAnsi" w:hAnsiTheme="majorHAnsi"/>
          <w:sz w:val="22"/>
          <w:szCs w:val="22"/>
        </w:rPr>
      </w:pPr>
    </w:p>
    <w:p w14:paraId="2454B1D5" w14:textId="142F6DFB" w:rsidR="00EB52C1" w:rsidRDefault="0051746A" w:rsidP="0051746A">
      <w:pPr>
        <w:jc w:val="both"/>
        <w:rPr>
          <w:rFonts w:asciiTheme="majorHAnsi" w:hAnsiTheme="majorHAnsi"/>
          <w:sz w:val="22"/>
          <w:szCs w:val="22"/>
        </w:rPr>
      </w:pPr>
      <w:r w:rsidRPr="001E378F">
        <w:rPr>
          <w:rFonts w:asciiTheme="majorHAnsi" w:hAnsiTheme="majorHAnsi"/>
          <w:i/>
          <w:sz w:val="22"/>
          <w:szCs w:val="22"/>
        </w:rPr>
        <w:t>Ibid</w:t>
      </w:r>
      <w:r w:rsidRPr="001E378F">
        <w:rPr>
          <w:rFonts w:asciiTheme="majorHAnsi" w:hAnsiTheme="majorHAnsi"/>
          <w:sz w:val="22"/>
          <w:szCs w:val="22"/>
        </w:rPr>
        <w:t xml:space="preserve">., p. 135 : </w:t>
      </w:r>
      <w:r w:rsidR="00EB52C1" w:rsidRPr="001E378F">
        <w:rPr>
          <w:rFonts w:asciiTheme="majorHAnsi" w:hAnsiTheme="majorHAnsi"/>
          <w:sz w:val="22"/>
          <w:szCs w:val="22"/>
        </w:rPr>
        <w:t xml:space="preserve">« Que révèle le primat de la lettre chez les premiers chrétiens ? </w:t>
      </w:r>
      <w:r w:rsidR="004B49DA" w:rsidRPr="001E378F">
        <w:rPr>
          <w:rFonts w:asciiTheme="majorHAnsi" w:hAnsiTheme="majorHAnsi"/>
          <w:sz w:val="22"/>
          <w:szCs w:val="22"/>
        </w:rPr>
        <w:t xml:space="preserve">Il témoigne d’abord que la Nouvelle chrétienne fut d’emblée une parole adressée, interpellant les personnes dans le concret et la </w:t>
      </w:r>
      <w:r w:rsidRPr="001E378F">
        <w:rPr>
          <w:rFonts w:asciiTheme="majorHAnsi" w:hAnsiTheme="majorHAnsi"/>
          <w:sz w:val="22"/>
          <w:szCs w:val="22"/>
        </w:rPr>
        <w:t>singularité de leur existence. T</w:t>
      </w:r>
      <w:r w:rsidR="004B49DA" w:rsidRPr="001E378F">
        <w:rPr>
          <w:rFonts w:asciiTheme="majorHAnsi" w:hAnsiTheme="majorHAnsi"/>
          <w:sz w:val="22"/>
          <w:szCs w:val="22"/>
        </w:rPr>
        <w:t>out le contraire d’une sagesse intemporelle. Elle témoigne</w:t>
      </w:r>
      <w:r w:rsidR="004B49DA">
        <w:rPr>
          <w:rFonts w:asciiTheme="majorHAnsi" w:hAnsiTheme="majorHAnsi"/>
          <w:sz w:val="22"/>
          <w:szCs w:val="22"/>
        </w:rPr>
        <w:t xml:space="preserve"> ensuite que cette parole ne fut pas ésotérique, réservée à l’initiation d’une grappe d’élus, mais rédigée en grec, en langue de tous. Tout le contraire d’un arcane. Elle témoigne ensuite que </w:t>
      </w:r>
      <w:r w:rsidR="004B49DA" w:rsidRPr="001E378F">
        <w:rPr>
          <w:rFonts w:asciiTheme="majorHAnsi" w:hAnsiTheme="majorHAnsi"/>
          <w:sz w:val="22"/>
          <w:szCs w:val="22"/>
        </w:rPr>
        <w:t>l’Evangile s’est présenté dès l’origine come une vérité en débat, digne de discussion et apte à</w:t>
      </w:r>
      <w:r w:rsidR="004B49DA">
        <w:rPr>
          <w:rFonts w:asciiTheme="majorHAnsi" w:hAnsiTheme="majorHAnsi"/>
          <w:sz w:val="22"/>
          <w:szCs w:val="22"/>
        </w:rPr>
        <w:t xml:space="preserve"> l’argumentation. Tout le contraire d’un d</w:t>
      </w:r>
      <w:r>
        <w:rPr>
          <w:rFonts w:asciiTheme="majorHAnsi" w:hAnsiTheme="majorHAnsi"/>
          <w:sz w:val="22"/>
          <w:szCs w:val="22"/>
        </w:rPr>
        <w:t>ogme transmis par imposition. »</w:t>
      </w:r>
    </w:p>
    <w:p w14:paraId="03393AAA" w14:textId="684EA170" w:rsidR="001E378F" w:rsidRPr="0051746A" w:rsidRDefault="005700FF" w:rsidP="001E378F">
      <w:pPr>
        <w:jc w:val="both"/>
        <w:rPr>
          <w:rFonts w:asciiTheme="majorHAnsi" w:hAnsiTheme="majorHAnsi"/>
          <w:b/>
          <w:sz w:val="22"/>
          <w:szCs w:val="22"/>
        </w:rPr>
      </w:pPr>
      <w:r>
        <w:rPr>
          <w:rFonts w:asciiTheme="majorHAnsi" w:hAnsiTheme="majorHAnsi"/>
          <w:sz w:val="22"/>
          <w:szCs w:val="22"/>
        </w:rPr>
        <w:br/>
      </w:r>
      <w:r w:rsidR="001E378F">
        <w:rPr>
          <w:rFonts w:asciiTheme="majorHAnsi" w:hAnsiTheme="majorHAnsi"/>
          <w:b/>
          <w:sz w:val="22"/>
          <w:szCs w:val="22"/>
        </w:rPr>
        <w:t xml:space="preserve">Les médiations concrètes de </w:t>
      </w:r>
      <w:r w:rsidR="006E6BF9">
        <w:rPr>
          <w:rFonts w:asciiTheme="majorHAnsi" w:hAnsiTheme="majorHAnsi"/>
          <w:b/>
          <w:sz w:val="22"/>
          <w:szCs w:val="22"/>
        </w:rPr>
        <w:t xml:space="preserve">la traduction : </w:t>
      </w:r>
      <w:r w:rsidR="001E378F">
        <w:rPr>
          <w:rFonts w:asciiTheme="majorHAnsi" w:hAnsiTheme="majorHAnsi"/>
          <w:b/>
          <w:sz w:val="22"/>
          <w:szCs w:val="22"/>
        </w:rPr>
        <w:t>l</w:t>
      </w:r>
      <w:r w:rsidR="001E378F" w:rsidRPr="0051746A">
        <w:rPr>
          <w:rFonts w:asciiTheme="majorHAnsi" w:hAnsiTheme="majorHAnsi"/>
          <w:b/>
          <w:sz w:val="22"/>
          <w:szCs w:val="22"/>
        </w:rPr>
        <w:t>es langues, les manuscrits</w:t>
      </w:r>
    </w:p>
    <w:p w14:paraId="11475042" w14:textId="77777777" w:rsidR="00C37F2F" w:rsidRDefault="00C37F2F" w:rsidP="003153EC">
      <w:pPr>
        <w:jc w:val="both"/>
        <w:rPr>
          <w:rFonts w:asciiTheme="majorHAnsi" w:hAnsiTheme="majorHAnsi"/>
          <w:sz w:val="22"/>
          <w:szCs w:val="22"/>
        </w:rPr>
      </w:pPr>
    </w:p>
    <w:p w14:paraId="4C5A3A30" w14:textId="77777777" w:rsidR="006E6BF9" w:rsidRDefault="006E6BF9" w:rsidP="003153EC">
      <w:pPr>
        <w:jc w:val="both"/>
        <w:rPr>
          <w:rFonts w:asciiTheme="majorHAnsi" w:hAnsiTheme="majorHAnsi"/>
          <w:sz w:val="22"/>
          <w:szCs w:val="22"/>
        </w:rPr>
      </w:pPr>
    </w:p>
    <w:p w14:paraId="733A3C07" w14:textId="5F3534FD" w:rsidR="00C63557" w:rsidRPr="00C63557" w:rsidRDefault="001E378F" w:rsidP="0058722F">
      <w:pPr>
        <w:rPr>
          <w:rFonts w:asciiTheme="majorHAnsi" w:hAnsiTheme="majorHAnsi"/>
          <w:b/>
          <w:sz w:val="28"/>
          <w:szCs w:val="28"/>
        </w:rPr>
      </w:pPr>
      <w:r>
        <w:rPr>
          <w:rFonts w:asciiTheme="majorHAnsi" w:hAnsiTheme="majorHAnsi"/>
          <w:b/>
          <w:sz w:val="28"/>
          <w:szCs w:val="28"/>
        </w:rPr>
        <w:t xml:space="preserve">II. </w:t>
      </w:r>
      <w:r w:rsidR="00C63557" w:rsidRPr="00C63557">
        <w:rPr>
          <w:rFonts w:asciiTheme="majorHAnsi" w:hAnsiTheme="majorHAnsi"/>
          <w:b/>
          <w:sz w:val="28"/>
          <w:szCs w:val="28"/>
        </w:rPr>
        <w:t xml:space="preserve">Les </w:t>
      </w:r>
      <w:r w:rsidR="007A14D5">
        <w:rPr>
          <w:rFonts w:asciiTheme="majorHAnsi" w:hAnsiTheme="majorHAnsi"/>
          <w:b/>
          <w:sz w:val="28"/>
          <w:szCs w:val="28"/>
        </w:rPr>
        <w:t>« </w:t>
      </w:r>
      <w:r w:rsidR="00C63557" w:rsidRPr="00C63557">
        <w:rPr>
          <w:rFonts w:asciiTheme="majorHAnsi" w:hAnsiTheme="majorHAnsi"/>
          <w:b/>
          <w:sz w:val="28"/>
          <w:szCs w:val="28"/>
        </w:rPr>
        <w:t>lieux théologiques</w:t>
      </w:r>
      <w:r w:rsidR="007A14D5">
        <w:rPr>
          <w:rFonts w:asciiTheme="majorHAnsi" w:hAnsiTheme="majorHAnsi"/>
          <w:b/>
          <w:sz w:val="28"/>
          <w:szCs w:val="28"/>
        </w:rPr>
        <w:t> »</w:t>
      </w:r>
      <w:r w:rsidR="00C63557">
        <w:rPr>
          <w:rFonts w:asciiTheme="majorHAnsi" w:hAnsiTheme="majorHAnsi"/>
          <w:b/>
          <w:sz w:val="28"/>
          <w:szCs w:val="28"/>
        </w:rPr>
        <w:t>,</w:t>
      </w:r>
      <w:r w:rsidR="00C63557" w:rsidRPr="00C63557">
        <w:rPr>
          <w:rFonts w:asciiTheme="majorHAnsi" w:hAnsiTheme="majorHAnsi"/>
          <w:b/>
          <w:sz w:val="28"/>
          <w:szCs w:val="28"/>
        </w:rPr>
        <w:t xml:space="preserve"> tels que définis par Melchior Cano</w:t>
      </w:r>
      <w:r w:rsidR="003153EC">
        <w:rPr>
          <w:rFonts w:asciiTheme="majorHAnsi" w:hAnsiTheme="majorHAnsi"/>
          <w:b/>
          <w:sz w:val="28"/>
          <w:szCs w:val="28"/>
        </w:rPr>
        <w:t xml:space="preserve"> </w:t>
      </w:r>
      <w:r w:rsidR="003153EC" w:rsidRPr="003153EC">
        <w:rPr>
          <w:rFonts w:asciiTheme="majorHAnsi" w:hAnsiTheme="majorHAnsi"/>
          <w:sz w:val="22"/>
          <w:szCs w:val="22"/>
        </w:rPr>
        <w:t>(</w:t>
      </w:r>
      <w:r w:rsidR="003153EC" w:rsidRPr="003153EC">
        <w:rPr>
          <w:rFonts w:asciiTheme="majorHAnsi" w:hAnsiTheme="majorHAnsi"/>
          <w:smallCaps/>
          <w:sz w:val="22"/>
          <w:szCs w:val="22"/>
        </w:rPr>
        <w:t>xvi</w:t>
      </w:r>
      <w:r w:rsidR="003153EC" w:rsidRPr="003153EC">
        <w:rPr>
          <w:rFonts w:asciiTheme="majorHAnsi" w:hAnsiTheme="majorHAnsi"/>
          <w:sz w:val="22"/>
          <w:szCs w:val="22"/>
          <w:vertAlign w:val="superscript"/>
        </w:rPr>
        <w:t>e</w:t>
      </w:r>
      <w:r w:rsidR="003153EC" w:rsidRPr="003153EC">
        <w:rPr>
          <w:rFonts w:asciiTheme="majorHAnsi" w:hAnsiTheme="majorHAnsi"/>
          <w:sz w:val="22"/>
          <w:szCs w:val="22"/>
        </w:rPr>
        <w:t xml:space="preserve"> siècle)</w:t>
      </w:r>
    </w:p>
    <w:p w14:paraId="4D363116" w14:textId="77777777" w:rsidR="00B316AE" w:rsidRDefault="00B316AE" w:rsidP="00B316AE">
      <w:pPr>
        <w:rPr>
          <w:rFonts w:asciiTheme="majorHAnsi" w:hAnsiTheme="majorHAnsi"/>
          <w:sz w:val="22"/>
          <w:szCs w:val="22"/>
        </w:rPr>
      </w:pPr>
    </w:p>
    <w:p w14:paraId="6852C45A" w14:textId="1B312DA1" w:rsidR="00B316AE" w:rsidRPr="006E6BF9" w:rsidRDefault="00B316AE" w:rsidP="00B316AE">
      <w:pPr>
        <w:jc w:val="both"/>
        <w:rPr>
          <w:rFonts w:asciiTheme="majorHAnsi" w:hAnsiTheme="majorHAnsi"/>
          <w:b/>
          <w:sz w:val="22"/>
          <w:szCs w:val="22"/>
        </w:rPr>
      </w:pPr>
      <w:r w:rsidRPr="006E6BF9">
        <w:rPr>
          <w:rFonts w:asciiTheme="majorHAnsi" w:hAnsiTheme="majorHAnsi"/>
          <w:b/>
          <w:sz w:val="22"/>
          <w:szCs w:val="22"/>
        </w:rPr>
        <w:t xml:space="preserve">Les dix lieux théologiques selon Melchior </w:t>
      </w:r>
      <w:r w:rsidRPr="006E6BF9">
        <w:rPr>
          <w:rFonts w:asciiTheme="majorHAnsi" w:hAnsiTheme="majorHAnsi"/>
          <w:b/>
          <w:smallCaps/>
          <w:sz w:val="22"/>
          <w:szCs w:val="22"/>
        </w:rPr>
        <w:t>Cano</w:t>
      </w:r>
      <w:r w:rsidRPr="006E6BF9">
        <w:rPr>
          <w:rFonts w:asciiTheme="majorHAnsi" w:hAnsiTheme="majorHAnsi"/>
          <w:b/>
          <w:sz w:val="22"/>
          <w:szCs w:val="22"/>
        </w:rPr>
        <w:t xml:space="preserve">, op </w:t>
      </w:r>
      <w:r w:rsidR="002B05C4" w:rsidRPr="006E6BF9">
        <w:rPr>
          <w:rFonts w:asciiTheme="majorHAnsi" w:hAnsiTheme="majorHAnsi"/>
          <w:b/>
          <w:sz w:val="22"/>
          <w:szCs w:val="22"/>
        </w:rPr>
        <w:t>(</w:t>
      </w:r>
      <w:r w:rsidR="001E378F" w:rsidRPr="006E6BF9">
        <w:rPr>
          <w:rFonts w:asciiTheme="majorHAnsi" w:hAnsiTheme="majorHAnsi"/>
          <w:b/>
          <w:sz w:val="22"/>
          <w:szCs w:val="22"/>
        </w:rPr>
        <w:t xml:space="preserve">publié en </w:t>
      </w:r>
      <w:r w:rsidRPr="006E6BF9">
        <w:rPr>
          <w:rFonts w:asciiTheme="majorHAnsi" w:hAnsiTheme="majorHAnsi"/>
          <w:b/>
          <w:sz w:val="22"/>
          <w:szCs w:val="22"/>
        </w:rPr>
        <w:t>1563, Salamanque</w:t>
      </w:r>
      <w:r w:rsidRPr="006E6BF9">
        <w:rPr>
          <w:rStyle w:val="Marquenotebasdepage"/>
          <w:rFonts w:asciiTheme="majorHAnsi" w:hAnsiTheme="majorHAnsi"/>
          <w:b/>
          <w:sz w:val="22"/>
          <w:szCs w:val="22"/>
        </w:rPr>
        <w:footnoteReference w:id="1"/>
      </w:r>
      <w:r w:rsidR="002B05C4" w:rsidRPr="006E6BF9">
        <w:rPr>
          <w:rFonts w:asciiTheme="majorHAnsi" w:hAnsiTheme="majorHAnsi"/>
          <w:b/>
          <w:sz w:val="22"/>
          <w:szCs w:val="22"/>
        </w:rPr>
        <w:t>)</w:t>
      </w:r>
      <w:r w:rsidRPr="006E6BF9">
        <w:rPr>
          <w:rFonts w:asciiTheme="majorHAnsi" w:hAnsiTheme="majorHAnsi"/>
          <w:b/>
          <w:sz w:val="22"/>
          <w:szCs w:val="22"/>
        </w:rPr>
        <w:t xml:space="preserve"> : </w:t>
      </w:r>
    </w:p>
    <w:p w14:paraId="4A43AB5A" w14:textId="236FD6E9" w:rsidR="00B316AE" w:rsidRPr="005D5764" w:rsidRDefault="00B316AE" w:rsidP="00B316AE">
      <w:pPr>
        <w:jc w:val="both"/>
        <w:rPr>
          <w:rFonts w:asciiTheme="majorHAnsi" w:hAnsiTheme="majorHAnsi"/>
          <w:b/>
          <w:sz w:val="22"/>
          <w:szCs w:val="22"/>
        </w:rPr>
      </w:pPr>
      <w:r w:rsidRPr="001E378F">
        <w:rPr>
          <w:rFonts w:asciiTheme="majorHAnsi" w:hAnsiTheme="majorHAnsi"/>
          <w:sz w:val="22"/>
          <w:szCs w:val="22"/>
        </w:rPr>
        <w:t>L’</w:t>
      </w:r>
      <w:r w:rsidRPr="001E378F">
        <w:rPr>
          <w:rFonts w:asciiTheme="majorHAnsi" w:hAnsiTheme="majorHAnsi" w:cs="Times New Roman"/>
          <w:sz w:val="22"/>
          <w:szCs w:val="22"/>
        </w:rPr>
        <w:t>É</w:t>
      </w:r>
      <w:r w:rsidRPr="001E378F">
        <w:rPr>
          <w:rFonts w:asciiTheme="majorHAnsi" w:hAnsiTheme="majorHAnsi"/>
          <w:sz w:val="22"/>
          <w:szCs w:val="22"/>
        </w:rPr>
        <w:t>criture sainte, la Tradition apostolique, l’autorité de l’</w:t>
      </w:r>
      <w:r w:rsidRPr="001E378F">
        <w:rPr>
          <w:rFonts w:asciiTheme="majorHAnsi" w:hAnsiTheme="majorHAnsi" w:cs="Times New Roman"/>
          <w:sz w:val="22"/>
          <w:szCs w:val="22"/>
        </w:rPr>
        <w:t>É</w:t>
      </w:r>
      <w:r w:rsidRPr="001E378F">
        <w:rPr>
          <w:rFonts w:asciiTheme="majorHAnsi" w:hAnsiTheme="majorHAnsi"/>
          <w:sz w:val="22"/>
          <w:szCs w:val="22"/>
        </w:rPr>
        <w:t>glise catholique, l’autorité des conciles œcuméniques, l’autorité du Souverain pontife, la doctrine des Pères de l’</w:t>
      </w:r>
      <w:r w:rsidRPr="001E378F">
        <w:rPr>
          <w:rFonts w:asciiTheme="majorHAnsi" w:hAnsiTheme="majorHAnsi" w:cs="Times New Roman"/>
          <w:sz w:val="22"/>
          <w:szCs w:val="22"/>
        </w:rPr>
        <w:t>É</w:t>
      </w:r>
      <w:r w:rsidRPr="001E378F">
        <w:rPr>
          <w:rFonts w:asciiTheme="majorHAnsi" w:hAnsiTheme="majorHAnsi"/>
          <w:sz w:val="22"/>
          <w:szCs w:val="22"/>
        </w:rPr>
        <w:t>glise, la doctrine des</w:t>
      </w:r>
      <w:r w:rsidRPr="005D5764">
        <w:rPr>
          <w:rFonts w:asciiTheme="majorHAnsi" w:hAnsiTheme="majorHAnsi"/>
          <w:sz w:val="22"/>
          <w:szCs w:val="22"/>
        </w:rPr>
        <w:t xml:space="preserve"> théologiens et des canonistes, la vérité rationnelle humaine, la doctrine des philosophes et l’histoire</w:t>
      </w:r>
      <w:r w:rsidR="009F2C21">
        <w:rPr>
          <w:rFonts w:asciiTheme="majorHAnsi" w:hAnsiTheme="majorHAnsi"/>
          <w:sz w:val="22"/>
          <w:szCs w:val="22"/>
        </w:rPr>
        <w:t>.</w:t>
      </w:r>
    </w:p>
    <w:p w14:paraId="37D3A38D" w14:textId="77777777" w:rsidR="00B316AE" w:rsidRPr="005D5764" w:rsidRDefault="00B316AE" w:rsidP="00B316AE">
      <w:pPr>
        <w:jc w:val="both"/>
        <w:rPr>
          <w:rFonts w:asciiTheme="majorHAnsi" w:hAnsiTheme="majorHAnsi" w:cs="Times"/>
          <w:sz w:val="22"/>
          <w:szCs w:val="22"/>
          <w:u w:color="522601"/>
        </w:rPr>
      </w:pPr>
    </w:p>
    <w:p w14:paraId="6DCE5BDE" w14:textId="20A746F7" w:rsidR="006E6BF9" w:rsidRPr="006E6BF9" w:rsidRDefault="006E6BF9" w:rsidP="00B316AE">
      <w:pPr>
        <w:jc w:val="both"/>
        <w:rPr>
          <w:rFonts w:asciiTheme="majorHAnsi" w:hAnsiTheme="majorHAnsi"/>
          <w:b/>
          <w:sz w:val="22"/>
          <w:szCs w:val="22"/>
        </w:rPr>
      </w:pPr>
      <w:r w:rsidRPr="006E6BF9">
        <w:rPr>
          <w:rFonts w:asciiTheme="majorHAnsi" w:hAnsiTheme="majorHAnsi"/>
          <w:b/>
          <w:sz w:val="22"/>
          <w:szCs w:val="22"/>
        </w:rPr>
        <w:t>Commentaires contemporains :</w:t>
      </w:r>
    </w:p>
    <w:p w14:paraId="62A0C6AF" w14:textId="2522B968" w:rsidR="00B316AE" w:rsidRDefault="00B316AE" w:rsidP="00B316AE">
      <w:pPr>
        <w:jc w:val="both"/>
        <w:rPr>
          <w:rFonts w:asciiTheme="majorHAnsi" w:hAnsiTheme="majorHAnsi"/>
          <w:noProof/>
          <w:sz w:val="22"/>
          <w:szCs w:val="22"/>
        </w:rPr>
      </w:pPr>
      <w:r w:rsidRPr="005D5764">
        <w:rPr>
          <w:rFonts w:asciiTheme="majorHAnsi" w:hAnsiTheme="majorHAnsi"/>
          <w:sz w:val="22"/>
          <w:szCs w:val="22"/>
        </w:rPr>
        <w:t xml:space="preserve">« L’émergence du premier traité </w:t>
      </w:r>
      <w:r w:rsidRPr="005D5764">
        <w:rPr>
          <w:rFonts w:asciiTheme="majorHAnsi" w:hAnsiTheme="majorHAnsi"/>
          <w:i/>
          <w:sz w:val="22"/>
          <w:szCs w:val="22"/>
        </w:rPr>
        <w:t>Des lieux théologiques</w:t>
      </w:r>
      <w:r w:rsidRPr="005D5764">
        <w:rPr>
          <w:rFonts w:asciiTheme="majorHAnsi" w:hAnsiTheme="majorHAnsi"/>
          <w:sz w:val="22"/>
          <w:szCs w:val="22"/>
        </w:rPr>
        <w:t xml:space="preserve">, rédigé par Melchior Cano et paru en 1563, </w:t>
      </w:r>
      <w:r w:rsidRPr="001E378F">
        <w:rPr>
          <w:rFonts w:asciiTheme="majorHAnsi" w:hAnsiTheme="majorHAnsi"/>
          <w:sz w:val="22"/>
          <w:szCs w:val="22"/>
        </w:rPr>
        <w:t xml:space="preserve">est typique de préoccupations nouvelles. Il s’agit pour lui de recenser de manière systématique et hiérarchisée les autorités capables de justifier un exposé de la foi. Nous sommes en présence d’un ensemble qui commande de manière nouvelle la théologie </w:t>
      </w:r>
      <w:r w:rsidR="001E378F" w:rsidRPr="001E378F">
        <w:rPr>
          <w:rFonts w:ascii="Calibri" w:hAnsi="Calibri"/>
          <w:sz w:val="22"/>
          <w:szCs w:val="22"/>
        </w:rPr>
        <w:t>[...]</w:t>
      </w:r>
      <w:r w:rsidRPr="001E378F">
        <w:rPr>
          <w:rFonts w:asciiTheme="majorHAnsi" w:hAnsiTheme="majorHAnsi"/>
          <w:sz w:val="22"/>
          <w:szCs w:val="22"/>
        </w:rPr>
        <w:t>. Chaque thèse doit être appuyée, fondée et confirmée sur un ensemble d’autorités qui prennent une place de plus en plus importante. »,</w:t>
      </w:r>
      <w:r w:rsidR="002B05C4" w:rsidRPr="001E378F">
        <w:rPr>
          <w:rFonts w:asciiTheme="majorHAnsi" w:hAnsiTheme="majorHAnsi"/>
          <w:sz w:val="22"/>
          <w:szCs w:val="22"/>
        </w:rPr>
        <w:t xml:space="preserve"> Bernard </w:t>
      </w:r>
      <w:r w:rsidR="002B05C4" w:rsidRPr="001E378F">
        <w:rPr>
          <w:rFonts w:asciiTheme="majorHAnsi" w:hAnsiTheme="majorHAnsi"/>
          <w:smallCaps/>
          <w:sz w:val="22"/>
          <w:szCs w:val="22"/>
        </w:rPr>
        <w:t>Sesboüé</w:t>
      </w:r>
      <w:r w:rsidR="002B05C4" w:rsidRPr="001E378F">
        <w:rPr>
          <w:rFonts w:asciiTheme="majorHAnsi" w:hAnsiTheme="majorHAnsi"/>
          <w:sz w:val="22"/>
          <w:szCs w:val="22"/>
        </w:rPr>
        <w:t>,</w:t>
      </w:r>
      <w:r w:rsidR="009F2C21" w:rsidRPr="001E378F">
        <w:rPr>
          <w:rFonts w:asciiTheme="majorHAnsi" w:hAnsiTheme="majorHAnsi"/>
          <w:sz w:val="22"/>
          <w:szCs w:val="22"/>
        </w:rPr>
        <w:t xml:space="preserve"> sj,</w:t>
      </w:r>
      <w:r w:rsidR="002B05C4" w:rsidRPr="001E378F">
        <w:rPr>
          <w:rFonts w:asciiTheme="majorHAnsi" w:hAnsiTheme="majorHAnsi"/>
          <w:sz w:val="22"/>
          <w:szCs w:val="22"/>
        </w:rPr>
        <w:t xml:space="preserve"> « Du couple </w:t>
      </w:r>
      <w:r w:rsidR="002B05C4" w:rsidRPr="001E378F">
        <w:rPr>
          <w:rFonts w:asciiTheme="majorHAnsi" w:hAnsiTheme="majorHAnsi"/>
          <w:i/>
          <w:sz w:val="22"/>
          <w:szCs w:val="22"/>
        </w:rPr>
        <w:t>lectio-quaestio</w:t>
      </w:r>
      <w:r w:rsidR="002B05C4" w:rsidRPr="001E378F">
        <w:rPr>
          <w:rFonts w:asciiTheme="majorHAnsi" w:hAnsiTheme="majorHAnsi"/>
          <w:sz w:val="22"/>
          <w:szCs w:val="22"/>
        </w:rPr>
        <w:t xml:space="preserve"> aux manuels » in </w:t>
      </w:r>
      <w:r w:rsidRPr="001E378F">
        <w:rPr>
          <w:rFonts w:asciiTheme="majorHAnsi" w:hAnsiTheme="majorHAnsi" w:cs="Times New Roman"/>
          <w:i/>
          <w:noProof/>
          <w:sz w:val="22"/>
          <w:szCs w:val="22"/>
        </w:rPr>
        <w:t>La responsabilité des</w:t>
      </w:r>
      <w:r w:rsidRPr="005D5764">
        <w:rPr>
          <w:rFonts w:asciiTheme="majorHAnsi" w:hAnsiTheme="majorHAnsi" w:cs="Times New Roman"/>
          <w:i/>
          <w:noProof/>
          <w:sz w:val="22"/>
          <w:szCs w:val="22"/>
        </w:rPr>
        <w:t xml:space="preserve"> théologiens. Mélanges offerts à Joseph Doré,</w:t>
      </w:r>
      <w:r w:rsidRPr="005D5764">
        <w:rPr>
          <w:rFonts w:asciiTheme="majorHAnsi" w:hAnsiTheme="majorHAnsi" w:cs="Times New Roman"/>
          <w:noProof/>
          <w:sz w:val="22"/>
          <w:szCs w:val="22"/>
        </w:rPr>
        <w:t xml:space="preserve"> Paris, Desclée, 2002,</w:t>
      </w:r>
      <w:r w:rsidRPr="005D5764">
        <w:rPr>
          <w:rFonts w:asciiTheme="majorHAnsi" w:hAnsiTheme="majorHAnsi"/>
          <w:noProof/>
          <w:sz w:val="22"/>
          <w:szCs w:val="22"/>
        </w:rPr>
        <w:t xml:space="preserve"> p. 37-50</w:t>
      </w:r>
      <w:r w:rsidR="001E378F">
        <w:rPr>
          <w:rFonts w:asciiTheme="majorHAnsi" w:hAnsiTheme="majorHAnsi"/>
          <w:noProof/>
          <w:sz w:val="22"/>
          <w:szCs w:val="22"/>
        </w:rPr>
        <w:t>.</w:t>
      </w:r>
    </w:p>
    <w:p w14:paraId="4CF317F7" w14:textId="77777777" w:rsidR="00B316AE" w:rsidRPr="005D5764" w:rsidRDefault="00B316AE" w:rsidP="00B316AE">
      <w:pPr>
        <w:widowControl w:val="0"/>
        <w:autoSpaceDE w:val="0"/>
        <w:autoSpaceDN w:val="0"/>
        <w:adjustRightInd w:val="0"/>
        <w:jc w:val="both"/>
        <w:rPr>
          <w:rFonts w:asciiTheme="majorHAnsi" w:hAnsiTheme="majorHAnsi"/>
          <w:sz w:val="22"/>
          <w:szCs w:val="22"/>
        </w:rPr>
      </w:pPr>
    </w:p>
    <w:p w14:paraId="18435E6D" w14:textId="3C157BAB" w:rsidR="00C63557" w:rsidRPr="006E6BF9" w:rsidRDefault="002B05C4" w:rsidP="00B316AE">
      <w:pPr>
        <w:jc w:val="both"/>
        <w:rPr>
          <w:rFonts w:asciiTheme="majorHAnsi" w:hAnsiTheme="majorHAnsi" w:cs="Times"/>
          <w:sz w:val="22"/>
          <w:szCs w:val="22"/>
          <w:u w:color="522601"/>
        </w:rPr>
      </w:pPr>
      <w:r w:rsidRPr="006E6BF9">
        <w:rPr>
          <w:rFonts w:asciiTheme="majorHAnsi" w:hAnsiTheme="majorHAnsi" w:cs="Times"/>
          <w:sz w:val="22"/>
          <w:szCs w:val="22"/>
          <w:u w:color="522601"/>
        </w:rPr>
        <w:t xml:space="preserve">Commission </w:t>
      </w:r>
      <w:r w:rsidR="00DD2322" w:rsidRPr="006E6BF9">
        <w:rPr>
          <w:rFonts w:asciiTheme="majorHAnsi" w:hAnsiTheme="majorHAnsi" w:cs="Times"/>
          <w:sz w:val="22"/>
          <w:szCs w:val="22"/>
          <w:u w:color="522601"/>
        </w:rPr>
        <w:t>T</w:t>
      </w:r>
      <w:r w:rsidRPr="006E6BF9">
        <w:rPr>
          <w:rFonts w:asciiTheme="majorHAnsi" w:hAnsiTheme="majorHAnsi" w:cs="Times"/>
          <w:sz w:val="22"/>
          <w:szCs w:val="22"/>
          <w:u w:color="522601"/>
        </w:rPr>
        <w:t xml:space="preserve">héologique </w:t>
      </w:r>
      <w:r w:rsidR="00DD2322" w:rsidRPr="006E6BF9">
        <w:rPr>
          <w:rFonts w:asciiTheme="majorHAnsi" w:hAnsiTheme="majorHAnsi" w:cs="Times"/>
          <w:sz w:val="22"/>
          <w:szCs w:val="22"/>
          <w:u w:color="522601"/>
        </w:rPr>
        <w:t>I</w:t>
      </w:r>
      <w:r w:rsidRPr="006E6BF9">
        <w:rPr>
          <w:rFonts w:asciiTheme="majorHAnsi" w:hAnsiTheme="majorHAnsi" w:cs="Times"/>
          <w:sz w:val="22"/>
          <w:szCs w:val="22"/>
          <w:u w:color="522601"/>
        </w:rPr>
        <w:t>nternationale</w:t>
      </w:r>
      <w:r w:rsidR="00DD2322" w:rsidRPr="006E6BF9">
        <w:rPr>
          <w:rFonts w:asciiTheme="majorHAnsi" w:hAnsiTheme="majorHAnsi" w:cs="Times"/>
          <w:sz w:val="22"/>
          <w:szCs w:val="22"/>
          <w:u w:color="522601"/>
        </w:rPr>
        <w:t xml:space="preserve">, </w:t>
      </w:r>
      <w:r w:rsidR="00DD2322" w:rsidRPr="006E6BF9">
        <w:rPr>
          <w:rFonts w:asciiTheme="majorHAnsi" w:hAnsiTheme="majorHAnsi" w:cs="Times"/>
          <w:i/>
          <w:sz w:val="22"/>
          <w:szCs w:val="22"/>
          <w:u w:color="522601"/>
        </w:rPr>
        <w:t>La théologie aujourd’hui. Perspectives, principes et critères</w:t>
      </w:r>
      <w:r w:rsidR="00DD2322" w:rsidRPr="006E6BF9">
        <w:rPr>
          <w:rFonts w:asciiTheme="majorHAnsi" w:hAnsiTheme="majorHAnsi" w:cs="Times"/>
          <w:sz w:val="22"/>
          <w:szCs w:val="22"/>
          <w:u w:color="522601"/>
        </w:rPr>
        <w:t>, 2012 : « Dans la théologie catholique s’est développée une réflexion considérable sur les « lieux » théologiques, c’est-à-dire sur les points de repère fondamentaux pour le travail théologique. Il est important de connaître non seulement ces lieux, mais aussi leur poids respectif et leurs relations mutuelles »</w:t>
      </w:r>
    </w:p>
    <w:p w14:paraId="7F73607B" w14:textId="0A38A3C2" w:rsidR="00DD2322" w:rsidRPr="003153EC" w:rsidRDefault="00320C24" w:rsidP="00B316AE">
      <w:pPr>
        <w:jc w:val="both"/>
        <w:rPr>
          <w:rFonts w:asciiTheme="majorHAnsi" w:hAnsiTheme="majorHAnsi" w:cs="Times"/>
          <w:iCs/>
          <w:sz w:val="22"/>
          <w:szCs w:val="22"/>
        </w:rPr>
      </w:pPr>
      <w:r w:rsidRPr="006E6BF9">
        <w:rPr>
          <w:rFonts w:asciiTheme="majorHAnsi" w:hAnsiTheme="majorHAnsi" w:cs="Times"/>
          <w:iCs/>
          <w:sz w:val="22"/>
          <w:szCs w:val="22"/>
        </w:rPr>
        <w:t>P</w:t>
      </w:r>
      <w:r w:rsidR="00DD2322" w:rsidRPr="006E6BF9">
        <w:rPr>
          <w:rFonts w:asciiTheme="majorHAnsi" w:hAnsiTheme="majorHAnsi" w:cs="Times"/>
          <w:iCs/>
          <w:sz w:val="22"/>
          <w:szCs w:val="22"/>
        </w:rPr>
        <w:t xml:space="preserve">lan du chapitre 2 : </w:t>
      </w:r>
      <w:r w:rsidR="00DD2322" w:rsidRPr="006E6BF9">
        <w:rPr>
          <w:rFonts w:asciiTheme="majorHAnsi" w:hAnsiTheme="majorHAnsi" w:cs="Times"/>
          <w:i/>
          <w:iCs/>
          <w:sz w:val="22"/>
          <w:szCs w:val="22"/>
        </w:rPr>
        <w:t>1. L’étude de l’Écriture, âme de la théologie</w:t>
      </w:r>
      <w:r w:rsidR="00260871" w:rsidRPr="006E6BF9">
        <w:rPr>
          <w:rFonts w:asciiTheme="majorHAnsi" w:hAnsiTheme="majorHAnsi" w:cs="Times"/>
          <w:i/>
          <w:iCs/>
          <w:sz w:val="22"/>
          <w:szCs w:val="22"/>
        </w:rPr>
        <w:t xml:space="preserve"> ; </w:t>
      </w:r>
      <w:r w:rsidR="00DD2322" w:rsidRPr="006E6BF9">
        <w:rPr>
          <w:rFonts w:asciiTheme="majorHAnsi" w:hAnsiTheme="majorHAnsi" w:cs="Times"/>
          <w:i/>
          <w:iCs/>
          <w:sz w:val="22"/>
          <w:szCs w:val="22"/>
        </w:rPr>
        <w:t>2. La fidélité à la Tradition apostolique</w:t>
      </w:r>
      <w:r w:rsidR="00260871" w:rsidRPr="006E6BF9">
        <w:rPr>
          <w:rFonts w:asciiTheme="majorHAnsi" w:hAnsiTheme="majorHAnsi" w:cs="Times"/>
          <w:sz w:val="22"/>
          <w:szCs w:val="22"/>
        </w:rPr>
        <w:t> ;</w:t>
      </w:r>
      <w:r w:rsidR="00260871" w:rsidRPr="006E6BF9">
        <w:rPr>
          <w:rFonts w:asciiTheme="majorHAnsi" w:hAnsiTheme="majorHAnsi" w:cs="Times"/>
          <w:i/>
          <w:iCs/>
          <w:sz w:val="22"/>
          <w:szCs w:val="22"/>
        </w:rPr>
        <w:t xml:space="preserve"> </w:t>
      </w:r>
      <w:r w:rsidR="00DD2322" w:rsidRPr="006E6BF9">
        <w:rPr>
          <w:rFonts w:asciiTheme="majorHAnsi" w:hAnsiTheme="majorHAnsi" w:cs="Times"/>
          <w:i/>
          <w:iCs/>
          <w:sz w:val="22"/>
          <w:szCs w:val="22"/>
        </w:rPr>
        <w:t xml:space="preserve">3. L’attention portée au </w:t>
      </w:r>
      <w:r w:rsidR="00DD2322" w:rsidRPr="006E6BF9">
        <w:rPr>
          <w:rFonts w:asciiTheme="majorHAnsi" w:hAnsiTheme="majorHAnsi" w:cs="Times"/>
          <w:sz w:val="22"/>
          <w:szCs w:val="22"/>
        </w:rPr>
        <w:t>sensus fidelium</w:t>
      </w:r>
      <w:r w:rsidR="00260871" w:rsidRPr="006E6BF9">
        <w:rPr>
          <w:rFonts w:asciiTheme="majorHAnsi" w:hAnsiTheme="majorHAnsi" w:cs="Times"/>
          <w:iCs/>
          <w:sz w:val="22"/>
          <w:szCs w:val="22"/>
        </w:rPr>
        <w:t> </w:t>
      </w:r>
      <w:r w:rsidR="00260871" w:rsidRPr="006E6BF9">
        <w:rPr>
          <w:rFonts w:asciiTheme="majorHAnsi" w:hAnsiTheme="majorHAnsi" w:cs="Times"/>
          <w:i/>
          <w:iCs/>
          <w:sz w:val="22"/>
          <w:szCs w:val="22"/>
        </w:rPr>
        <w:t xml:space="preserve">; </w:t>
      </w:r>
      <w:r w:rsidR="00DD2322" w:rsidRPr="006E6BF9">
        <w:rPr>
          <w:rFonts w:asciiTheme="majorHAnsi" w:hAnsiTheme="majorHAnsi" w:cs="Times"/>
          <w:i/>
          <w:iCs/>
          <w:sz w:val="22"/>
          <w:szCs w:val="22"/>
        </w:rPr>
        <w:t>4. Une adhésion responsable au Magistère de l’Église</w:t>
      </w:r>
      <w:r w:rsidR="00260871" w:rsidRPr="006E6BF9">
        <w:rPr>
          <w:rFonts w:asciiTheme="majorHAnsi" w:hAnsiTheme="majorHAnsi" w:cs="Times"/>
          <w:i/>
          <w:iCs/>
          <w:sz w:val="22"/>
          <w:szCs w:val="22"/>
        </w:rPr>
        <w:t xml:space="preserve"> ; </w:t>
      </w:r>
      <w:r w:rsidR="00DD2322" w:rsidRPr="006E6BF9">
        <w:rPr>
          <w:rFonts w:asciiTheme="majorHAnsi" w:hAnsiTheme="majorHAnsi" w:cs="Times"/>
          <w:i/>
          <w:iCs/>
          <w:sz w:val="22"/>
          <w:szCs w:val="22"/>
        </w:rPr>
        <w:t>5.</w:t>
      </w:r>
      <w:r w:rsidR="00260871" w:rsidRPr="006E6BF9">
        <w:rPr>
          <w:rFonts w:asciiTheme="majorHAnsi" w:hAnsiTheme="majorHAnsi" w:cs="Times"/>
          <w:i/>
          <w:iCs/>
          <w:sz w:val="22"/>
          <w:szCs w:val="22"/>
        </w:rPr>
        <w:t xml:space="preserve"> La communauté des théologiens ; </w:t>
      </w:r>
      <w:r w:rsidR="00DD2322" w:rsidRPr="006E6BF9">
        <w:rPr>
          <w:rFonts w:asciiTheme="majorHAnsi" w:hAnsiTheme="majorHAnsi" w:cs="Times"/>
          <w:i/>
          <w:iCs/>
          <w:sz w:val="22"/>
          <w:szCs w:val="22"/>
        </w:rPr>
        <w:t>6. En dialogue avec le monde</w:t>
      </w:r>
    </w:p>
    <w:p w14:paraId="1C22D57E" w14:textId="60F095B0" w:rsidR="008C6326" w:rsidRPr="00320C24" w:rsidRDefault="008C6326" w:rsidP="00B316AE">
      <w:pPr>
        <w:jc w:val="both"/>
        <w:rPr>
          <w:rFonts w:asciiTheme="majorHAnsi" w:hAnsiTheme="majorHAnsi"/>
          <w:b/>
          <w:sz w:val="22"/>
          <w:szCs w:val="22"/>
        </w:rPr>
      </w:pPr>
    </w:p>
    <w:p w14:paraId="3A91C910" w14:textId="39EF0B44" w:rsidR="002B05C4" w:rsidRDefault="002B05C4">
      <w:pPr>
        <w:rPr>
          <w:rFonts w:asciiTheme="majorHAnsi" w:hAnsiTheme="majorHAnsi"/>
          <w:b/>
          <w:sz w:val="28"/>
          <w:szCs w:val="28"/>
        </w:rPr>
      </w:pPr>
    </w:p>
    <w:p w14:paraId="005F7B67" w14:textId="5E0DDD04" w:rsidR="00C63557" w:rsidRPr="006E6BF9" w:rsidRDefault="006E6BF9" w:rsidP="00C63557">
      <w:pPr>
        <w:jc w:val="both"/>
        <w:rPr>
          <w:rFonts w:asciiTheme="majorHAnsi" w:hAnsiTheme="majorHAnsi"/>
          <w:b/>
          <w:sz w:val="28"/>
          <w:szCs w:val="28"/>
        </w:rPr>
      </w:pPr>
      <w:r>
        <w:rPr>
          <w:rFonts w:asciiTheme="majorHAnsi" w:hAnsiTheme="majorHAnsi"/>
          <w:b/>
          <w:sz w:val="28"/>
          <w:szCs w:val="28"/>
        </w:rPr>
        <w:t xml:space="preserve">III. </w:t>
      </w:r>
      <w:r w:rsidR="00C63557" w:rsidRPr="006E6BF9">
        <w:rPr>
          <w:rFonts w:asciiTheme="majorHAnsi" w:hAnsiTheme="majorHAnsi"/>
          <w:b/>
          <w:sz w:val="28"/>
          <w:szCs w:val="28"/>
        </w:rPr>
        <w:t xml:space="preserve">Les lieux théologiques </w:t>
      </w:r>
      <w:r w:rsidR="0077700E" w:rsidRPr="006E6BF9">
        <w:rPr>
          <w:rFonts w:asciiTheme="majorHAnsi" w:hAnsiTheme="majorHAnsi"/>
          <w:b/>
          <w:sz w:val="28"/>
          <w:szCs w:val="28"/>
        </w:rPr>
        <w:t>« </w:t>
      </w:r>
      <w:r w:rsidR="00C63557" w:rsidRPr="006E6BF9">
        <w:rPr>
          <w:rFonts w:asciiTheme="majorHAnsi" w:hAnsiTheme="majorHAnsi"/>
          <w:b/>
          <w:sz w:val="28"/>
          <w:szCs w:val="28"/>
        </w:rPr>
        <w:t>en acte</w:t>
      </w:r>
      <w:r w:rsidR="0077700E" w:rsidRPr="006E6BF9">
        <w:rPr>
          <w:rFonts w:asciiTheme="majorHAnsi" w:hAnsiTheme="majorHAnsi"/>
          <w:b/>
          <w:sz w:val="28"/>
          <w:szCs w:val="28"/>
        </w:rPr>
        <w:t> »</w:t>
      </w:r>
      <w:r w:rsidR="00C63557" w:rsidRPr="006E6BF9">
        <w:rPr>
          <w:rFonts w:asciiTheme="majorHAnsi" w:hAnsiTheme="majorHAnsi"/>
          <w:b/>
          <w:sz w:val="28"/>
          <w:szCs w:val="28"/>
        </w:rPr>
        <w:t xml:space="preserve"> </w:t>
      </w:r>
    </w:p>
    <w:p w14:paraId="22E83085" w14:textId="77777777" w:rsidR="006E6BF9" w:rsidRPr="006E6BF9" w:rsidRDefault="006E6BF9" w:rsidP="00C63557">
      <w:pPr>
        <w:jc w:val="both"/>
        <w:rPr>
          <w:rFonts w:asciiTheme="majorHAnsi" w:hAnsiTheme="majorHAnsi"/>
        </w:rPr>
      </w:pPr>
    </w:p>
    <w:p w14:paraId="6BA43CEE" w14:textId="0E16FCAD" w:rsidR="002B05C4" w:rsidRPr="006E6BF9" w:rsidRDefault="00C63557" w:rsidP="00C63557">
      <w:pPr>
        <w:jc w:val="both"/>
        <w:rPr>
          <w:rFonts w:asciiTheme="majorHAnsi" w:hAnsiTheme="majorHAnsi"/>
        </w:rPr>
      </w:pPr>
      <w:r w:rsidRPr="006E6BF9">
        <w:rPr>
          <w:rFonts w:asciiTheme="majorHAnsi" w:hAnsiTheme="majorHAnsi"/>
        </w:rPr>
        <w:t xml:space="preserve">M.-D. </w:t>
      </w:r>
      <w:r w:rsidRPr="006E6BF9">
        <w:rPr>
          <w:rFonts w:asciiTheme="majorHAnsi" w:hAnsiTheme="majorHAnsi"/>
          <w:smallCaps/>
        </w:rPr>
        <w:t>Chenu</w:t>
      </w:r>
      <w:r w:rsidRPr="006E6BF9">
        <w:rPr>
          <w:rFonts w:asciiTheme="majorHAnsi" w:hAnsiTheme="majorHAnsi"/>
        </w:rPr>
        <w:t xml:space="preserve">, </w:t>
      </w:r>
      <w:r w:rsidRPr="006E6BF9">
        <w:rPr>
          <w:rFonts w:asciiTheme="majorHAnsi" w:hAnsiTheme="majorHAnsi"/>
          <w:i/>
        </w:rPr>
        <w:t xml:space="preserve">Une </w:t>
      </w:r>
      <w:r w:rsidRPr="006E6BF9">
        <w:rPr>
          <w:rFonts w:asciiTheme="majorHAnsi" w:hAnsiTheme="majorHAnsi" w:cs="Times New Roman"/>
          <w:i/>
        </w:rPr>
        <w:t>É</w:t>
      </w:r>
      <w:r w:rsidRPr="006E6BF9">
        <w:rPr>
          <w:rFonts w:asciiTheme="majorHAnsi" w:hAnsiTheme="majorHAnsi"/>
          <w:i/>
        </w:rPr>
        <w:t>cole de théologie : le Saulchoir</w:t>
      </w:r>
      <w:r w:rsidRPr="006E6BF9">
        <w:rPr>
          <w:rFonts w:asciiTheme="majorHAnsi" w:hAnsiTheme="majorHAnsi"/>
        </w:rPr>
        <w:t xml:space="preserve">, 1937, réédité Paris, Cerf, 1985, p. 142-143 : </w:t>
      </w:r>
    </w:p>
    <w:p w14:paraId="68B69B6A" w14:textId="3B7930EE" w:rsidR="00C63557" w:rsidRPr="006E6BF9" w:rsidRDefault="00C63557" w:rsidP="00C63557">
      <w:pPr>
        <w:jc w:val="both"/>
        <w:rPr>
          <w:rFonts w:asciiTheme="majorHAnsi" w:eastAsia="Times New Roman" w:hAnsiTheme="majorHAnsi"/>
          <w:color w:val="000000"/>
          <w:sz w:val="22"/>
          <w:szCs w:val="22"/>
          <w:shd w:val="clear" w:color="auto" w:fill="FFFFFF"/>
        </w:rPr>
      </w:pPr>
      <w:r w:rsidRPr="006E6BF9">
        <w:rPr>
          <w:rFonts w:asciiTheme="majorHAnsi" w:eastAsia="Times New Roman" w:hAnsiTheme="majorHAnsi"/>
          <w:color w:val="000000"/>
          <w:sz w:val="22"/>
          <w:szCs w:val="22"/>
          <w:shd w:val="clear" w:color="auto" w:fill="FFFFFF"/>
        </w:rPr>
        <w:t>« Etre présent à son temps, disions-nous. Nous y voilà. Théologiquement parlant, c’est être présent au donné révélé dans la vie présente de l’</w:t>
      </w:r>
      <w:r w:rsidRPr="006E6BF9">
        <w:rPr>
          <w:rFonts w:asciiTheme="majorHAnsi" w:hAnsiTheme="majorHAnsi" w:cs="Times New Roman"/>
          <w:sz w:val="22"/>
          <w:szCs w:val="22"/>
        </w:rPr>
        <w:t>É</w:t>
      </w:r>
      <w:r w:rsidRPr="006E6BF9">
        <w:rPr>
          <w:rFonts w:asciiTheme="majorHAnsi" w:eastAsia="Times New Roman" w:hAnsiTheme="majorHAnsi"/>
          <w:color w:val="000000"/>
          <w:sz w:val="22"/>
          <w:szCs w:val="22"/>
          <w:shd w:val="clear" w:color="auto" w:fill="FFFFFF"/>
        </w:rPr>
        <w:t xml:space="preserve">glise et dans l’expérience actuelle de la chrétienté. Or, la Tradition, c’est, </w:t>
      </w:r>
      <w:r w:rsidRPr="006E6BF9">
        <w:rPr>
          <w:rFonts w:asciiTheme="majorHAnsi" w:eastAsia="Times New Roman" w:hAnsiTheme="majorHAnsi"/>
          <w:i/>
          <w:color w:val="000000"/>
          <w:sz w:val="22"/>
          <w:szCs w:val="22"/>
          <w:shd w:val="clear" w:color="auto" w:fill="FFFFFF"/>
        </w:rPr>
        <w:t>dans la foi</w:t>
      </w:r>
      <w:r w:rsidRPr="006E6BF9">
        <w:rPr>
          <w:rFonts w:asciiTheme="majorHAnsi" w:eastAsia="Times New Roman" w:hAnsiTheme="majorHAnsi"/>
          <w:color w:val="000000"/>
          <w:sz w:val="22"/>
          <w:szCs w:val="22"/>
          <w:shd w:val="clear" w:color="auto" w:fill="FFFFFF"/>
        </w:rPr>
        <w:t xml:space="preserve">, la présence même de la révélation. Le théologien vit de cela. Ses yeux sont grands ouverts sur la chrétienté en travail. Ainsi regardons-nous avec une sainte curiosité : </w:t>
      </w:r>
    </w:p>
    <w:p w14:paraId="40753382" w14:textId="4A3216E0" w:rsidR="00C63557" w:rsidRPr="006E6BF9" w:rsidRDefault="00C63557" w:rsidP="00C63557">
      <w:pPr>
        <w:pStyle w:val="Paragraphedeliste"/>
        <w:numPr>
          <w:ilvl w:val="0"/>
          <w:numId w:val="9"/>
        </w:numPr>
        <w:jc w:val="both"/>
        <w:rPr>
          <w:rFonts w:asciiTheme="majorHAnsi" w:eastAsia="Times New Roman" w:hAnsiTheme="majorHAnsi"/>
          <w:color w:val="000000"/>
          <w:sz w:val="22"/>
          <w:szCs w:val="22"/>
          <w:shd w:val="clear" w:color="auto" w:fill="FFFFFF"/>
        </w:rPr>
      </w:pPr>
      <w:r w:rsidRPr="006E6BF9">
        <w:rPr>
          <w:rFonts w:asciiTheme="majorHAnsi" w:eastAsia="Times New Roman" w:hAnsiTheme="majorHAnsi"/>
          <w:color w:val="000000"/>
          <w:sz w:val="22"/>
          <w:szCs w:val="22"/>
          <w:shd w:val="clear" w:color="auto" w:fill="FFFFFF"/>
        </w:rPr>
        <w:t>l’expansion missionnaire, dont le sens profond se révèle contre tant d’étroitesses mentales et institutionnelles, avivé encore et corsé par le sentiment des di</w:t>
      </w:r>
      <w:r w:rsidR="0077700E" w:rsidRPr="006E6BF9">
        <w:rPr>
          <w:rFonts w:asciiTheme="majorHAnsi" w:eastAsia="Times New Roman" w:hAnsiTheme="majorHAnsi"/>
          <w:color w:val="000000"/>
          <w:sz w:val="22"/>
          <w:szCs w:val="22"/>
          <w:shd w:val="clear" w:color="auto" w:fill="FFFFFF"/>
        </w:rPr>
        <w:t>mensions nouvelles du monde, de</w:t>
      </w:r>
      <w:r w:rsidRPr="006E6BF9">
        <w:rPr>
          <w:rFonts w:asciiTheme="majorHAnsi" w:eastAsia="Times New Roman" w:hAnsiTheme="majorHAnsi"/>
          <w:color w:val="000000"/>
          <w:sz w:val="22"/>
          <w:szCs w:val="22"/>
          <w:shd w:val="clear" w:color="auto" w:fill="FFFFFF"/>
        </w:rPr>
        <w:t xml:space="preserve"> ses solidarités, de ses autonomies, de ses peuples adultes, hors </w:t>
      </w:r>
      <w:r w:rsidR="0077700E" w:rsidRPr="006E6BF9">
        <w:rPr>
          <w:rFonts w:asciiTheme="majorHAnsi" w:eastAsia="Times New Roman" w:hAnsiTheme="majorHAnsi"/>
          <w:color w:val="000000"/>
          <w:sz w:val="22"/>
          <w:szCs w:val="22"/>
          <w:shd w:val="clear" w:color="auto" w:fill="FFFFFF"/>
        </w:rPr>
        <w:t>d’</w:t>
      </w:r>
      <w:r w:rsidRPr="006E6BF9">
        <w:rPr>
          <w:rFonts w:asciiTheme="majorHAnsi" w:eastAsia="Times New Roman" w:hAnsiTheme="majorHAnsi"/>
          <w:color w:val="000000"/>
          <w:sz w:val="22"/>
          <w:szCs w:val="22"/>
          <w:shd w:val="clear" w:color="auto" w:fill="FFFFFF"/>
        </w:rPr>
        <w:t>un colonialisme périmé ;</w:t>
      </w:r>
    </w:p>
    <w:p w14:paraId="6B45E1AF" w14:textId="77777777" w:rsidR="00C63557" w:rsidRPr="006E6BF9" w:rsidRDefault="00C63557" w:rsidP="00C63557">
      <w:pPr>
        <w:pStyle w:val="Paragraphedeliste"/>
        <w:numPr>
          <w:ilvl w:val="0"/>
          <w:numId w:val="9"/>
        </w:numPr>
        <w:jc w:val="both"/>
        <w:rPr>
          <w:rFonts w:asciiTheme="majorHAnsi" w:eastAsia="Times New Roman" w:hAnsiTheme="majorHAnsi"/>
          <w:color w:val="000000"/>
          <w:sz w:val="22"/>
          <w:szCs w:val="22"/>
          <w:shd w:val="clear" w:color="auto" w:fill="FFFFFF"/>
        </w:rPr>
      </w:pPr>
      <w:r w:rsidRPr="006E6BF9">
        <w:rPr>
          <w:rFonts w:asciiTheme="majorHAnsi" w:hAnsiTheme="majorHAnsi"/>
          <w:sz w:val="22"/>
          <w:szCs w:val="22"/>
        </w:rPr>
        <w:t>le pluralisme des civilisations humaines, dont les richesses disparates peuvent appesantir les chrétientés locales, mais aussi faire sentir, avec la transcendance du christianisme, la souplesse divine de sa grâce ;</w:t>
      </w:r>
    </w:p>
    <w:p w14:paraId="72EFE025" w14:textId="66735510" w:rsidR="00C63557" w:rsidRPr="006E6BF9" w:rsidRDefault="00C63557" w:rsidP="00C63557">
      <w:pPr>
        <w:pStyle w:val="Paragraphedeliste"/>
        <w:numPr>
          <w:ilvl w:val="0"/>
          <w:numId w:val="9"/>
        </w:numPr>
        <w:jc w:val="both"/>
        <w:rPr>
          <w:rFonts w:asciiTheme="majorHAnsi" w:eastAsia="Times New Roman" w:hAnsiTheme="majorHAnsi"/>
          <w:color w:val="000000"/>
          <w:sz w:val="22"/>
          <w:szCs w:val="22"/>
          <w:shd w:val="clear" w:color="auto" w:fill="FFFFFF"/>
        </w:rPr>
      </w:pPr>
      <w:r w:rsidRPr="006E6BF9">
        <w:rPr>
          <w:rFonts w:asciiTheme="majorHAnsi" w:hAnsiTheme="majorHAnsi"/>
          <w:sz w:val="22"/>
          <w:szCs w:val="22"/>
        </w:rPr>
        <w:t>les grandeurs originales de l’Orient, que l’islam a ravies à l’</w:t>
      </w:r>
      <w:r w:rsidRPr="006E6BF9">
        <w:rPr>
          <w:rFonts w:asciiTheme="majorHAnsi" w:hAnsiTheme="majorHAnsi" w:cs="Times New Roman"/>
          <w:sz w:val="22"/>
          <w:szCs w:val="22"/>
        </w:rPr>
        <w:t>É</w:t>
      </w:r>
      <w:r w:rsidRPr="006E6BF9">
        <w:rPr>
          <w:rFonts w:asciiTheme="majorHAnsi" w:hAnsiTheme="majorHAnsi"/>
          <w:sz w:val="22"/>
          <w:szCs w:val="22"/>
        </w:rPr>
        <w:t>vangile, que les schismes ont dilapidées, mais dont la privation demeure une blessure ouverte pour l’</w:t>
      </w:r>
      <w:r w:rsidRPr="006E6BF9">
        <w:rPr>
          <w:rFonts w:asciiTheme="majorHAnsi" w:hAnsiTheme="majorHAnsi" w:cs="Times New Roman"/>
          <w:sz w:val="22"/>
          <w:szCs w:val="22"/>
        </w:rPr>
        <w:t>É</w:t>
      </w:r>
      <w:r w:rsidRPr="006E6BF9">
        <w:rPr>
          <w:rFonts w:asciiTheme="majorHAnsi" w:hAnsiTheme="majorHAnsi"/>
          <w:sz w:val="22"/>
          <w:szCs w:val="22"/>
        </w:rPr>
        <w:t>glise, tentée dès lors de se bloquer dans le latinisme occidental ;</w:t>
      </w:r>
    </w:p>
    <w:p w14:paraId="7776E918" w14:textId="77777777" w:rsidR="00C63557" w:rsidRPr="006E6BF9" w:rsidRDefault="00C63557" w:rsidP="00C63557">
      <w:pPr>
        <w:pStyle w:val="Paragraphedeliste"/>
        <w:numPr>
          <w:ilvl w:val="0"/>
          <w:numId w:val="9"/>
        </w:numPr>
        <w:jc w:val="both"/>
        <w:rPr>
          <w:rFonts w:asciiTheme="majorHAnsi" w:eastAsia="Times New Roman" w:hAnsiTheme="majorHAnsi"/>
          <w:color w:val="000000"/>
          <w:sz w:val="22"/>
          <w:szCs w:val="22"/>
          <w:shd w:val="clear" w:color="auto" w:fill="FFFFFF"/>
        </w:rPr>
      </w:pPr>
      <w:r w:rsidRPr="006E6BF9">
        <w:rPr>
          <w:rFonts w:asciiTheme="majorHAnsi" w:hAnsiTheme="majorHAnsi"/>
          <w:sz w:val="22"/>
          <w:szCs w:val="22"/>
        </w:rPr>
        <w:t>l’émouvant et irrépressible appétit d’union qui travaille, comme la chrétienté elle-même, et plus fébrilement qu’elle, les chrétientés dissidentes, dont les mouvements ‘œcuméniques’ rendent témoignage à l’</w:t>
      </w:r>
      <w:r w:rsidRPr="006E6BF9">
        <w:rPr>
          <w:rFonts w:asciiTheme="majorHAnsi" w:hAnsiTheme="majorHAnsi"/>
          <w:i/>
          <w:sz w:val="22"/>
          <w:szCs w:val="22"/>
        </w:rPr>
        <w:t>Ecclesia una sancta </w:t>
      </w:r>
      <w:r w:rsidRPr="006E6BF9">
        <w:rPr>
          <w:rFonts w:asciiTheme="majorHAnsi" w:hAnsiTheme="majorHAnsi"/>
          <w:sz w:val="22"/>
          <w:szCs w:val="22"/>
        </w:rPr>
        <w:t>;</w:t>
      </w:r>
    </w:p>
    <w:p w14:paraId="27D92F16" w14:textId="77777777" w:rsidR="00C63557" w:rsidRPr="006E6BF9" w:rsidRDefault="00C63557" w:rsidP="00C63557">
      <w:pPr>
        <w:pStyle w:val="Paragraphedeliste"/>
        <w:numPr>
          <w:ilvl w:val="0"/>
          <w:numId w:val="9"/>
        </w:numPr>
        <w:jc w:val="both"/>
        <w:rPr>
          <w:rFonts w:asciiTheme="majorHAnsi" w:eastAsia="Times New Roman" w:hAnsiTheme="majorHAnsi"/>
          <w:color w:val="000000"/>
          <w:sz w:val="22"/>
          <w:szCs w:val="22"/>
          <w:shd w:val="clear" w:color="auto" w:fill="FFFFFF"/>
        </w:rPr>
      </w:pPr>
      <w:r w:rsidRPr="006E6BF9">
        <w:rPr>
          <w:rFonts w:asciiTheme="majorHAnsi" w:hAnsiTheme="majorHAnsi"/>
          <w:sz w:val="22"/>
          <w:szCs w:val="22"/>
        </w:rPr>
        <w:t>la fermentation sociale provoquée par l’accès des masses populaires à la vie publique et consciente, spectacle grandiose que la perversion communiste rend tragique, y compris dans sa dénonciation des ignorances et des insouciances des chrétiens ; non pas seulement d’innombrables problèmes de morale pratique dès lors posés, mais le grand problème d’une nouvelle chrétienté en gestation, corps mystique où le travail aura son statut spirituel, et l’homme sa condition humaine entre la richesse et la misère ;</w:t>
      </w:r>
    </w:p>
    <w:p w14:paraId="51F03216" w14:textId="4E9BF1A8" w:rsidR="00C63557" w:rsidRPr="006E6BF9" w:rsidRDefault="00C63557" w:rsidP="00C63557">
      <w:pPr>
        <w:pStyle w:val="Paragraphedeliste"/>
        <w:numPr>
          <w:ilvl w:val="0"/>
          <w:numId w:val="9"/>
        </w:numPr>
        <w:jc w:val="both"/>
        <w:rPr>
          <w:rFonts w:asciiTheme="majorHAnsi" w:eastAsia="Times New Roman" w:hAnsiTheme="majorHAnsi"/>
          <w:color w:val="000000"/>
          <w:sz w:val="22"/>
          <w:szCs w:val="22"/>
          <w:shd w:val="clear" w:color="auto" w:fill="FFFFFF"/>
        </w:rPr>
      </w:pPr>
      <w:r w:rsidRPr="006E6BF9">
        <w:rPr>
          <w:rFonts w:asciiTheme="majorHAnsi" w:hAnsiTheme="majorHAnsi"/>
          <w:sz w:val="22"/>
          <w:szCs w:val="22"/>
        </w:rPr>
        <w:t>et au milieu de tout cela l’</w:t>
      </w:r>
      <w:r w:rsidRPr="006E6BF9">
        <w:rPr>
          <w:rFonts w:asciiTheme="majorHAnsi" w:hAnsiTheme="majorHAnsi" w:cs="Times New Roman"/>
          <w:sz w:val="22"/>
          <w:szCs w:val="22"/>
        </w:rPr>
        <w:t>É</w:t>
      </w:r>
      <w:r w:rsidRPr="006E6BF9">
        <w:rPr>
          <w:rFonts w:asciiTheme="majorHAnsi" w:hAnsiTheme="majorHAnsi"/>
          <w:sz w:val="22"/>
          <w:szCs w:val="22"/>
        </w:rPr>
        <w:t>glise militante, retrouvant dans ce monde nouveau une nouvelle jeunesse, par une nouvelle méthode de conquête, où le laïc participe à l’apostolat hiérarchique, portant dans son milieu le témoignage et la vie du Christ : incarnation prolongée, où toute l’épaisseur de la société humaine, selon ses métiers et ses classes, est assumée dans ces institutions que sont les mouvements spécialisés, structure typique de cette nouvelle chrétienté.</w:t>
      </w:r>
    </w:p>
    <w:p w14:paraId="50823400" w14:textId="3B5BF782" w:rsidR="00C63557" w:rsidRDefault="00C63557" w:rsidP="00FD1E64">
      <w:pPr>
        <w:ind w:left="360"/>
        <w:jc w:val="both"/>
        <w:rPr>
          <w:rFonts w:asciiTheme="majorHAnsi" w:eastAsia="Times New Roman" w:hAnsiTheme="majorHAnsi"/>
          <w:color w:val="000000"/>
          <w:sz w:val="22"/>
          <w:szCs w:val="22"/>
          <w:shd w:val="clear" w:color="auto" w:fill="FFFFFF"/>
        </w:rPr>
      </w:pPr>
      <w:r w:rsidRPr="006E6BF9">
        <w:rPr>
          <w:rFonts w:asciiTheme="majorHAnsi" w:eastAsia="Times New Roman" w:hAnsiTheme="majorHAnsi"/>
          <w:color w:val="000000"/>
          <w:sz w:val="22"/>
          <w:szCs w:val="22"/>
          <w:shd w:val="clear" w:color="auto" w:fill="FFFFFF"/>
        </w:rPr>
        <w:t xml:space="preserve">Autant de ‘lieux’ théologiques </w:t>
      </w:r>
      <w:r w:rsidRPr="006E6BF9">
        <w:rPr>
          <w:rFonts w:asciiTheme="majorHAnsi" w:eastAsia="Times New Roman" w:hAnsiTheme="majorHAnsi"/>
          <w:i/>
          <w:color w:val="000000"/>
          <w:sz w:val="22"/>
          <w:szCs w:val="22"/>
          <w:shd w:val="clear" w:color="auto" w:fill="FFFFFF"/>
        </w:rPr>
        <w:t>en acte</w:t>
      </w:r>
      <w:r w:rsidRPr="006E6BF9">
        <w:rPr>
          <w:rFonts w:asciiTheme="majorHAnsi" w:eastAsia="Times New Roman" w:hAnsiTheme="majorHAnsi"/>
          <w:color w:val="000000"/>
          <w:sz w:val="22"/>
          <w:szCs w:val="22"/>
          <w:shd w:val="clear" w:color="auto" w:fill="FFFFFF"/>
        </w:rPr>
        <w:t xml:space="preserve">, pour la doctrine de la grâce, de l’incarnation, de la rédemption, expressément promulgués d’ailleurs et décrits au fur et à mesure par les encycliques des papes. Mauvais théologiens, ceux qui, enfouis dans leurs in-folio et leurs disputes scolastiques, ne seraient pas ouverts à ces spectacles, non seulement dans la pieuse ferveur de leur cœur, mais formellement dans leur science : donné théologique en plein rendement, dans la présence de </w:t>
      </w:r>
      <w:r w:rsidRPr="006E6BF9">
        <w:rPr>
          <w:rFonts w:asciiTheme="majorHAnsi" w:eastAsia="Times New Roman" w:hAnsiTheme="majorHAnsi"/>
          <w:i/>
          <w:color w:val="000000"/>
          <w:sz w:val="22"/>
          <w:szCs w:val="22"/>
          <w:shd w:val="clear" w:color="auto" w:fill="FFFFFF"/>
        </w:rPr>
        <w:t>l’Esprit</w:t>
      </w:r>
      <w:r w:rsidR="00FD1E64" w:rsidRPr="006E6BF9">
        <w:rPr>
          <w:rFonts w:asciiTheme="majorHAnsi" w:eastAsia="Times New Roman" w:hAnsiTheme="majorHAnsi"/>
          <w:color w:val="000000"/>
          <w:sz w:val="22"/>
          <w:szCs w:val="22"/>
          <w:shd w:val="clear" w:color="auto" w:fill="FFFFFF"/>
        </w:rPr>
        <w:t>. »</w:t>
      </w:r>
    </w:p>
    <w:p w14:paraId="383CF792" w14:textId="77777777" w:rsidR="000B0DEA" w:rsidRDefault="000B0DEA" w:rsidP="005D5764">
      <w:pPr>
        <w:rPr>
          <w:rFonts w:asciiTheme="majorHAnsi" w:eastAsia="Times New Roman" w:hAnsiTheme="majorHAnsi"/>
          <w:color w:val="000000"/>
          <w:sz w:val="22"/>
          <w:szCs w:val="22"/>
          <w:shd w:val="clear" w:color="auto" w:fill="FFFFFF"/>
        </w:rPr>
      </w:pPr>
    </w:p>
    <w:p w14:paraId="55D7BFEE" w14:textId="77777777" w:rsidR="000B0DEA" w:rsidRPr="003153EC" w:rsidRDefault="000B0DEA" w:rsidP="005D5764">
      <w:pPr>
        <w:rPr>
          <w:rFonts w:asciiTheme="majorHAnsi" w:eastAsia="Times New Roman" w:hAnsiTheme="majorHAnsi"/>
          <w:color w:val="000000"/>
          <w:sz w:val="22"/>
          <w:szCs w:val="22"/>
          <w:shd w:val="clear" w:color="auto" w:fill="FFFFFF"/>
        </w:rPr>
      </w:pPr>
    </w:p>
    <w:sectPr w:rsidR="000B0DEA" w:rsidRPr="003153EC" w:rsidSect="003153EC">
      <w:footerReference w:type="even" r:id="rId8"/>
      <w:footerReference w:type="default" r:id="rId9"/>
      <w:pgSz w:w="11900" w:h="16840"/>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DF1A9" w14:textId="77777777" w:rsidR="001E378F" w:rsidRDefault="001E378F" w:rsidP="003422C9">
      <w:r>
        <w:separator/>
      </w:r>
    </w:p>
  </w:endnote>
  <w:endnote w:type="continuationSeparator" w:id="0">
    <w:p w14:paraId="296B35FB" w14:textId="77777777" w:rsidR="001E378F" w:rsidRDefault="001E378F" w:rsidP="0034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B87C0" w14:textId="77777777" w:rsidR="001E378F" w:rsidRDefault="001E378F" w:rsidP="00BC315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B5E67A9" w14:textId="77777777" w:rsidR="001E378F" w:rsidRDefault="001E378F">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62498" w14:textId="77777777" w:rsidR="001E378F" w:rsidRPr="00C843A7" w:rsidRDefault="001E378F" w:rsidP="00C843A7">
    <w:pPr>
      <w:pStyle w:val="Pieddepage"/>
      <w:framePr w:wrap="around" w:vAnchor="text" w:hAnchor="page" w:x="5918" w:y="-31"/>
      <w:rPr>
        <w:rStyle w:val="Numrodepage"/>
        <w:rFonts w:asciiTheme="majorHAnsi" w:hAnsiTheme="majorHAnsi"/>
        <w:sz w:val="20"/>
        <w:szCs w:val="20"/>
      </w:rPr>
    </w:pPr>
    <w:r w:rsidRPr="00C843A7">
      <w:rPr>
        <w:rStyle w:val="Numrodepage"/>
        <w:rFonts w:asciiTheme="majorHAnsi" w:hAnsiTheme="majorHAnsi"/>
        <w:sz w:val="20"/>
        <w:szCs w:val="20"/>
      </w:rPr>
      <w:fldChar w:fldCharType="begin"/>
    </w:r>
    <w:r w:rsidRPr="00C843A7">
      <w:rPr>
        <w:rStyle w:val="Numrodepage"/>
        <w:rFonts w:asciiTheme="majorHAnsi" w:hAnsiTheme="majorHAnsi"/>
        <w:sz w:val="20"/>
        <w:szCs w:val="20"/>
      </w:rPr>
      <w:instrText xml:space="preserve">PAGE  </w:instrText>
    </w:r>
    <w:r w:rsidRPr="00C843A7">
      <w:rPr>
        <w:rStyle w:val="Numrodepage"/>
        <w:rFonts w:asciiTheme="majorHAnsi" w:hAnsiTheme="majorHAnsi"/>
        <w:sz w:val="20"/>
        <w:szCs w:val="20"/>
      </w:rPr>
      <w:fldChar w:fldCharType="separate"/>
    </w:r>
    <w:r w:rsidR="006E6BF9">
      <w:rPr>
        <w:rStyle w:val="Numrodepage"/>
        <w:rFonts w:asciiTheme="majorHAnsi" w:hAnsiTheme="majorHAnsi"/>
        <w:noProof/>
        <w:sz w:val="20"/>
        <w:szCs w:val="20"/>
      </w:rPr>
      <w:t>1</w:t>
    </w:r>
    <w:r w:rsidRPr="00C843A7">
      <w:rPr>
        <w:rStyle w:val="Numrodepage"/>
        <w:rFonts w:asciiTheme="majorHAnsi" w:hAnsiTheme="majorHAnsi"/>
        <w:sz w:val="20"/>
        <w:szCs w:val="20"/>
      </w:rPr>
      <w:fldChar w:fldCharType="end"/>
    </w:r>
  </w:p>
  <w:p w14:paraId="7F36D855" w14:textId="77777777" w:rsidR="001E378F" w:rsidRDefault="001E378F">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1BF9B" w14:textId="77777777" w:rsidR="001E378F" w:rsidRDefault="001E378F" w:rsidP="003422C9">
      <w:r>
        <w:separator/>
      </w:r>
    </w:p>
  </w:footnote>
  <w:footnote w:type="continuationSeparator" w:id="0">
    <w:p w14:paraId="74CF9533" w14:textId="77777777" w:rsidR="001E378F" w:rsidRDefault="001E378F" w:rsidP="003422C9">
      <w:r>
        <w:continuationSeparator/>
      </w:r>
    </w:p>
  </w:footnote>
  <w:footnote w:id="1">
    <w:p w14:paraId="211182CD" w14:textId="4924933B" w:rsidR="001E378F" w:rsidRPr="00DD2322" w:rsidRDefault="001E378F" w:rsidP="00B316AE">
      <w:pPr>
        <w:pStyle w:val="Notedebasdepage"/>
        <w:jc w:val="both"/>
        <w:rPr>
          <w:rFonts w:asciiTheme="majorHAnsi" w:hAnsiTheme="majorHAnsi"/>
          <w:sz w:val="20"/>
          <w:szCs w:val="20"/>
        </w:rPr>
      </w:pPr>
      <w:r w:rsidRPr="005D5764">
        <w:rPr>
          <w:rStyle w:val="Marquenotebasdepage"/>
          <w:rFonts w:asciiTheme="majorHAnsi" w:hAnsiTheme="majorHAnsi"/>
          <w:sz w:val="20"/>
          <w:szCs w:val="20"/>
        </w:rPr>
        <w:footnoteRef/>
      </w:r>
      <w:r w:rsidRPr="005D5764">
        <w:rPr>
          <w:rFonts w:asciiTheme="majorHAnsi" w:hAnsiTheme="majorHAnsi"/>
          <w:sz w:val="20"/>
          <w:szCs w:val="20"/>
        </w:rPr>
        <w:t xml:space="preserve"> Francesco Vitoria (1492-1546), qui a étudié à Paris de 1507 à 1522 et a baigné au couvent Saint-Jacques des dominicains dans le renouveau thomiste de la fin du XV° siècle, transportera ces </w:t>
      </w:r>
      <w:r w:rsidRPr="001E378F">
        <w:rPr>
          <w:rFonts w:asciiTheme="majorHAnsi" w:hAnsiTheme="majorHAnsi"/>
          <w:sz w:val="20"/>
          <w:szCs w:val="20"/>
        </w:rPr>
        <w:t>méthodes</w:t>
      </w:r>
      <w:r w:rsidRPr="005D5764">
        <w:rPr>
          <w:rFonts w:asciiTheme="majorHAnsi" w:hAnsiTheme="majorHAnsi"/>
          <w:sz w:val="20"/>
          <w:szCs w:val="20"/>
        </w:rPr>
        <w:t xml:space="preserve"> à Salamanq</w:t>
      </w:r>
      <w:r>
        <w:rPr>
          <w:rFonts w:asciiTheme="majorHAnsi" w:hAnsiTheme="majorHAnsi"/>
          <w:sz w:val="20"/>
          <w:szCs w:val="20"/>
        </w:rPr>
        <w:t>ue où il sera à l’origine de l’</w:t>
      </w:r>
      <w:r w:rsidRPr="005D5764">
        <w:rPr>
          <w:rFonts w:asciiTheme="majorHAnsi" w:hAnsiTheme="majorHAnsi"/>
          <w:sz w:val="20"/>
          <w:szCs w:val="20"/>
        </w:rPr>
        <w:t>école de théologie dominicaine salmantine avec Melchior Cano</w:t>
      </w:r>
      <w:r>
        <w:rPr>
          <w:rFonts w:asciiTheme="majorHAnsi" w:hAnsiTheme="majorHAnsi"/>
          <w:sz w:val="20"/>
          <w:szCs w:val="20"/>
        </w:rPr>
        <w:t xml:space="preserve"> (1509-1560)</w:t>
      </w:r>
      <w:r w:rsidRPr="005D5764">
        <w:rPr>
          <w:rFonts w:asciiTheme="majorHAnsi" w:hAnsiTheme="majorHAnsi"/>
          <w:sz w:val="20"/>
          <w:szCs w:val="20"/>
        </w:rPr>
        <w:t>, Dominique Soto,</w:t>
      </w:r>
      <w:r w:rsidRPr="00DD2322">
        <w:rPr>
          <w:rFonts w:asciiTheme="majorHAnsi" w:hAnsiTheme="majorHAnsi"/>
          <w:sz w:val="20"/>
          <w:szCs w:val="20"/>
        </w:rPr>
        <w:t xml:space="preserve"> Dominique Banez, entr</w:t>
      </w:r>
      <w:r>
        <w:rPr>
          <w:rFonts w:asciiTheme="majorHAnsi" w:hAnsiTheme="majorHAnsi"/>
          <w:sz w:val="20"/>
          <w:szCs w:val="20"/>
        </w:rPr>
        <w:t xml:space="preserve">e autres, qui furent ses élèves (Sesboué, </w:t>
      </w:r>
      <w:r w:rsidRPr="00DD2322">
        <w:rPr>
          <w:rFonts w:asciiTheme="majorHAnsi" w:hAnsiTheme="majorHAnsi"/>
          <w:i/>
          <w:sz w:val="20"/>
          <w:szCs w:val="20"/>
        </w:rPr>
        <w:t>ibid</w:t>
      </w:r>
      <w:r>
        <w:rPr>
          <w:rFonts w:asciiTheme="majorHAnsi" w:hAnsiTheme="majorHAnsi"/>
          <w:sz w:val="20"/>
          <w:szCs w:val="20"/>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90084"/>
    <w:multiLevelType w:val="hybridMultilevel"/>
    <w:tmpl w:val="1FAA0AAE"/>
    <w:lvl w:ilvl="0" w:tplc="EA429B60">
      <w:start w:val="1"/>
      <w:numFmt w:val="bullet"/>
      <w:pStyle w:val="NormalWeb"/>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
    <w:nsid w:val="0EB14023"/>
    <w:multiLevelType w:val="hybridMultilevel"/>
    <w:tmpl w:val="B9581960"/>
    <w:lvl w:ilvl="0" w:tplc="556A5328">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49425A"/>
    <w:multiLevelType w:val="hybridMultilevel"/>
    <w:tmpl w:val="50E49242"/>
    <w:lvl w:ilvl="0" w:tplc="307EC9DA">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0400B6"/>
    <w:multiLevelType w:val="hybridMultilevel"/>
    <w:tmpl w:val="0818EB78"/>
    <w:lvl w:ilvl="0" w:tplc="1D26880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4C66EE1"/>
    <w:multiLevelType w:val="hybridMultilevel"/>
    <w:tmpl w:val="9E908B3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A083029"/>
    <w:multiLevelType w:val="hybridMultilevel"/>
    <w:tmpl w:val="B0E854CA"/>
    <w:lvl w:ilvl="0" w:tplc="5B986464">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0FA205E"/>
    <w:multiLevelType w:val="hybridMultilevel"/>
    <w:tmpl w:val="02502B28"/>
    <w:lvl w:ilvl="0" w:tplc="49EC579A">
      <w:start w:val="1"/>
      <w:numFmt w:val="upperRoman"/>
      <w:lvlText w:val="%1."/>
      <w:lvlJc w:val="left"/>
      <w:pPr>
        <w:ind w:left="1080" w:hanging="720"/>
      </w:pPr>
      <w:rPr>
        <w:rFont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68D5415"/>
    <w:multiLevelType w:val="hybridMultilevel"/>
    <w:tmpl w:val="D71606D2"/>
    <w:lvl w:ilvl="0" w:tplc="AD3E93A6">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1200567"/>
    <w:multiLevelType w:val="hybridMultilevel"/>
    <w:tmpl w:val="80860C0C"/>
    <w:lvl w:ilvl="0" w:tplc="CFE28D98">
      <w:start w:val="1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21226D0"/>
    <w:multiLevelType w:val="hybridMultilevel"/>
    <w:tmpl w:val="6D608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E1974F9"/>
    <w:multiLevelType w:val="hybridMultilevel"/>
    <w:tmpl w:val="F48673B8"/>
    <w:lvl w:ilvl="0" w:tplc="7FE854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10"/>
  </w:num>
  <w:num w:numId="4">
    <w:abstractNumId w:val="7"/>
  </w:num>
  <w:num w:numId="5">
    <w:abstractNumId w:val="2"/>
  </w:num>
  <w:num w:numId="6">
    <w:abstractNumId w:val="1"/>
  </w:num>
  <w:num w:numId="7">
    <w:abstractNumId w:val="5"/>
  </w:num>
  <w:num w:numId="8">
    <w:abstractNumId w:val="9"/>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47"/>
    <w:rsid w:val="0001058E"/>
    <w:rsid w:val="0002243E"/>
    <w:rsid w:val="00075F2A"/>
    <w:rsid w:val="000B0DEA"/>
    <w:rsid w:val="000E3A6C"/>
    <w:rsid w:val="001310AF"/>
    <w:rsid w:val="001E0444"/>
    <w:rsid w:val="001E378F"/>
    <w:rsid w:val="001E37A2"/>
    <w:rsid w:val="00250B97"/>
    <w:rsid w:val="00260871"/>
    <w:rsid w:val="00281CE7"/>
    <w:rsid w:val="0028587D"/>
    <w:rsid w:val="00295128"/>
    <w:rsid w:val="002B05C4"/>
    <w:rsid w:val="003006E1"/>
    <w:rsid w:val="003153EC"/>
    <w:rsid w:val="00320C24"/>
    <w:rsid w:val="003422C9"/>
    <w:rsid w:val="0036444B"/>
    <w:rsid w:val="00374BD3"/>
    <w:rsid w:val="003C68DD"/>
    <w:rsid w:val="00415FBB"/>
    <w:rsid w:val="00481355"/>
    <w:rsid w:val="004B49DA"/>
    <w:rsid w:val="004B5DB4"/>
    <w:rsid w:val="004D215E"/>
    <w:rsid w:val="005048C5"/>
    <w:rsid w:val="0051746A"/>
    <w:rsid w:val="00522B40"/>
    <w:rsid w:val="00567686"/>
    <w:rsid w:val="005700FF"/>
    <w:rsid w:val="005750BF"/>
    <w:rsid w:val="0058722F"/>
    <w:rsid w:val="00593537"/>
    <w:rsid w:val="005D5764"/>
    <w:rsid w:val="0062001B"/>
    <w:rsid w:val="00653C8C"/>
    <w:rsid w:val="006A46FF"/>
    <w:rsid w:val="006E6BF9"/>
    <w:rsid w:val="0077700E"/>
    <w:rsid w:val="00790014"/>
    <w:rsid w:val="007948C8"/>
    <w:rsid w:val="007A14D5"/>
    <w:rsid w:val="008C6326"/>
    <w:rsid w:val="00937021"/>
    <w:rsid w:val="0094273C"/>
    <w:rsid w:val="00955E4A"/>
    <w:rsid w:val="009C7731"/>
    <w:rsid w:val="009D2C09"/>
    <w:rsid w:val="009F2C21"/>
    <w:rsid w:val="00A03D15"/>
    <w:rsid w:val="00A30603"/>
    <w:rsid w:val="00A513BD"/>
    <w:rsid w:val="00A767C1"/>
    <w:rsid w:val="00B11156"/>
    <w:rsid w:val="00B316AE"/>
    <w:rsid w:val="00B66DCB"/>
    <w:rsid w:val="00B74C31"/>
    <w:rsid w:val="00BB7811"/>
    <w:rsid w:val="00BC3151"/>
    <w:rsid w:val="00C35F47"/>
    <w:rsid w:val="00C37F2F"/>
    <w:rsid w:val="00C46323"/>
    <w:rsid w:val="00C47607"/>
    <w:rsid w:val="00C63557"/>
    <w:rsid w:val="00C843A7"/>
    <w:rsid w:val="00CA5F23"/>
    <w:rsid w:val="00D019E0"/>
    <w:rsid w:val="00DD2322"/>
    <w:rsid w:val="00E86183"/>
    <w:rsid w:val="00EA4811"/>
    <w:rsid w:val="00EB52C1"/>
    <w:rsid w:val="00ED5FD6"/>
    <w:rsid w:val="00F6480F"/>
    <w:rsid w:val="00F85A53"/>
    <w:rsid w:val="00FA268E"/>
    <w:rsid w:val="00FD1E6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14B5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C35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8587D"/>
    <w:pPr>
      <w:spacing w:before="100" w:beforeAutospacing="1" w:after="100" w:afterAutospacing="1"/>
    </w:pPr>
    <w:rPr>
      <w:rFonts w:ascii="Times" w:hAnsi="Times" w:cs="Times New Roman"/>
      <w:sz w:val="20"/>
      <w:szCs w:val="20"/>
    </w:rPr>
  </w:style>
  <w:style w:type="character" w:customStyle="1" w:styleId="versenumber">
    <w:name w:val="verse_number"/>
    <w:basedOn w:val="Policepardfaut"/>
    <w:rsid w:val="0028587D"/>
  </w:style>
  <w:style w:type="character" w:customStyle="1" w:styleId="apple-converted-space">
    <w:name w:val="apple-converted-space"/>
    <w:basedOn w:val="Policepardfaut"/>
    <w:rsid w:val="0028587D"/>
  </w:style>
  <w:style w:type="paragraph" w:styleId="Paragraphedeliste">
    <w:name w:val="List Paragraph"/>
    <w:aliases w:val="Liste à puce"/>
    <w:basedOn w:val="Normal"/>
    <w:uiPriority w:val="34"/>
    <w:qFormat/>
    <w:rsid w:val="00955E4A"/>
    <w:pPr>
      <w:ind w:left="720"/>
      <w:contextualSpacing/>
    </w:pPr>
  </w:style>
  <w:style w:type="paragraph" w:styleId="Notedebasdepage">
    <w:name w:val="footnote text"/>
    <w:basedOn w:val="Normal"/>
    <w:link w:val="NotedebasdepageCar"/>
    <w:uiPriority w:val="99"/>
    <w:unhideWhenUsed/>
    <w:rsid w:val="003422C9"/>
  </w:style>
  <w:style w:type="character" w:customStyle="1" w:styleId="NotedebasdepageCar">
    <w:name w:val="Note de bas de page Car"/>
    <w:basedOn w:val="Policepardfaut"/>
    <w:link w:val="Notedebasdepage"/>
    <w:uiPriority w:val="99"/>
    <w:rsid w:val="003422C9"/>
  </w:style>
  <w:style w:type="character" w:styleId="Marquenotebasdepage">
    <w:name w:val="footnote reference"/>
    <w:basedOn w:val="Policepardfaut"/>
    <w:unhideWhenUsed/>
    <w:qFormat/>
    <w:rsid w:val="003422C9"/>
    <w:rPr>
      <w:vertAlign w:val="superscript"/>
    </w:rPr>
  </w:style>
  <w:style w:type="character" w:customStyle="1" w:styleId="hdg">
    <w:name w:val="hdg"/>
    <w:basedOn w:val="Policepardfaut"/>
    <w:rsid w:val="006A46FF"/>
  </w:style>
  <w:style w:type="character" w:styleId="Lienhypertexte">
    <w:name w:val="Hyperlink"/>
    <w:basedOn w:val="Policepardfaut"/>
    <w:uiPriority w:val="99"/>
    <w:semiHidden/>
    <w:unhideWhenUsed/>
    <w:rsid w:val="006A46FF"/>
    <w:rPr>
      <w:color w:val="0000FF"/>
      <w:u w:val="single"/>
    </w:rPr>
  </w:style>
  <w:style w:type="character" w:customStyle="1" w:styleId="reftext">
    <w:name w:val="reftext"/>
    <w:basedOn w:val="Policepardfaut"/>
    <w:rsid w:val="006A46FF"/>
  </w:style>
  <w:style w:type="character" w:customStyle="1" w:styleId="highl">
    <w:name w:val="highl"/>
    <w:basedOn w:val="Policepardfaut"/>
    <w:rsid w:val="006A46FF"/>
  </w:style>
  <w:style w:type="character" w:customStyle="1" w:styleId="tskref">
    <w:name w:val="tskref"/>
    <w:basedOn w:val="Policepardfaut"/>
    <w:rsid w:val="00ED5FD6"/>
  </w:style>
  <w:style w:type="paragraph" w:styleId="Pieddepage">
    <w:name w:val="footer"/>
    <w:basedOn w:val="Normal"/>
    <w:link w:val="PieddepageCar"/>
    <w:uiPriority w:val="99"/>
    <w:unhideWhenUsed/>
    <w:rsid w:val="00C843A7"/>
    <w:pPr>
      <w:tabs>
        <w:tab w:val="center" w:pos="4536"/>
        <w:tab w:val="right" w:pos="9072"/>
      </w:tabs>
    </w:pPr>
  </w:style>
  <w:style w:type="character" w:customStyle="1" w:styleId="PieddepageCar">
    <w:name w:val="Pied de page Car"/>
    <w:basedOn w:val="Policepardfaut"/>
    <w:link w:val="Pieddepage"/>
    <w:uiPriority w:val="99"/>
    <w:rsid w:val="00C843A7"/>
  </w:style>
  <w:style w:type="character" w:styleId="Numrodepage">
    <w:name w:val="page number"/>
    <w:basedOn w:val="Policepardfaut"/>
    <w:uiPriority w:val="99"/>
    <w:semiHidden/>
    <w:unhideWhenUsed/>
    <w:rsid w:val="00C843A7"/>
  </w:style>
  <w:style w:type="paragraph" w:styleId="En-tte">
    <w:name w:val="header"/>
    <w:basedOn w:val="Normal"/>
    <w:link w:val="En-tteCar"/>
    <w:uiPriority w:val="99"/>
    <w:unhideWhenUsed/>
    <w:rsid w:val="00C843A7"/>
    <w:pPr>
      <w:tabs>
        <w:tab w:val="center" w:pos="4536"/>
        <w:tab w:val="right" w:pos="9072"/>
      </w:tabs>
    </w:pPr>
  </w:style>
  <w:style w:type="character" w:customStyle="1" w:styleId="En-tteCar">
    <w:name w:val="En-tête Car"/>
    <w:basedOn w:val="Policepardfaut"/>
    <w:link w:val="En-tte"/>
    <w:uiPriority w:val="99"/>
    <w:rsid w:val="00C843A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C35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8587D"/>
    <w:pPr>
      <w:spacing w:before="100" w:beforeAutospacing="1" w:after="100" w:afterAutospacing="1"/>
    </w:pPr>
    <w:rPr>
      <w:rFonts w:ascii="Times" w:hAnsi="Times" w:cs="Times New Roman"/>
      <w:sz w:val="20"/>
      <w:szCs w:val="20"/>
    </w:rPr>
  </w:style>
  <w:style w:type="character" w:customStyle="1" w:styleId="versenumber">
    <w:name w:val="verse_number"/>
    <w:basedOn w:val="Policepardfaut"/>
    <w:rsid w:val="0028587D"/>
  </w:style>
  <w:style w:type="character" w:customStyle="1" w:styleId="apple-converted-space">
    <w:name w:val="apple-converted-space"/>
    <w:basedOn w:val="Policepardfaut"/>
    <w:rsid w:val="0028587D"/>
  </w:style>
  <w:style w:type="paragraph" w:styleId="Paragraphedeliste">
    <w:name w:val="List Paragraph"/>
    <w:aliases w:val="Liste à puce"/>
    <w:basedOn w:val="Normal"/>
    <w:uiPriority w:val="34"/>
    <w:qFormat/>
    <w:rsid w:val="00955E4A"/>
    <w:pPr>
      <w:ind w:left="720"/>
      <w:contextualSpacing/>
    </w:pPr>
  </w:style>
  <w:style w:type="paragraph" w:styleId="Notedebasdepage">
    <w:name w:val="footnote text"/>
    <w:basedOn w:val="Normal"/>
    <w:link w:val="NotedebasdepageCar"/>
    <w:uiPriority w:val="99"/>
    <w:unhideWhenUsed/>
    <w:rsid w:val="003422C9"/>
  </w:style>
  <w:style w:type="character" w:customStyle="1" w:styleId="NotedebasdepageCar">
    <w:name w:val="Note de bas de page Car"/>
    <w:basedOn w:val="Policepardfaut"/>
    <w:link w:val="Notedebasdepage"/>
    <w:uiPriority w:val="99"/>
    <w:rsid w:val="003422C9"/>
  </w:style>
  <w:style w:type="character" w:styleId="Marquenotebasdepage">
    <w:name w:val="footnote reference"/>
    <w:basedOn w:val="Policepardfaut"/>
    <w:unhideWhenUsed/>
    <w:qFormat/>
    <w:rsid w:val="003422C9"/>
    <w:rPr>
      <w:vertAlign w:val="superscript"/>
    </w:rPr>
  </w:style>
  <w:style w:type="character" w:customStyle="1" w:styleId="hdg">
    <w:name w:val="hdg"/>
    <w:basedOn w:val="Policepardfaut"/>
    <w:rsid w:val="006A46FF"/>
  </w:style>
  <w:style w:type="character" w:styleId="Lienhypertexte">
    <w:name w:val="Hyperlink"/>
    <w:basedOn w:val="Policepardfaut"/>
    <w:uiPriority w:val="99"/>
    <w:semiHidden/>
    <w:unhideWhenUsed/>
    <w:rsid w:val="006A46FF"/>
    <w:rPr>
      <w:color w:val="0000FF"/>
      <w:u w:val="single"/>
    </w:rPr>
  </w:style>
  <w:style w:type="character" w:customStyle="1" w:styleId="reftext">
    <w:name w:val="reftext"/>
    <w:basedOn w:val="Policepardfaut"/>
    <w:rsid w:val="006A46FF"/>
  </w:style>
  <w:style w:type="character" w:customStyle="1" w:styleId="highl">
    <w:name w:val="highl"/>
    <w:basedOn w:val="Policepardfaut"/>
    <w:rsid w:val="006A46FF"/>
  </w:style>
  <w:style w:type="character" w:customStyle="1" w:styleId="tskref">
    <w:name w:val="tskref"/>
    <w:basedOn w:val="Policepardfaut"/>
    <w:rsid w:val="00ED5FD6"/>
  </w:style>
  <w:style w:type="paragraph" w:styleId="Pieddepage">
    <w:name w:val="footer"/>
    <w:basedOn w:val="Normal"/>
    <w:link w:val="PieddepageCar"/>
    <w:uiPriority w:val="99"/>
    <w:unhideWhenUsed/>
    <w:rsid w:val="00C843A7"/>
    <w:pPr>
      <w:tabs>
        <w:tab w:val="center" w:pos="4536"/>
        <w:tab w:val="right" w:pos="9072"/>
      </w:tabs>
    </w:pPr>
  </w:style>
  <w:style w:type="character" w:customStyle="1" w:styleId="PieddepageCar">
    <w:name w:val="Pied de page Car"/>
    <w:basedOn w:val="Policepardfaut"/>
    <w:link w:val="Pieddepage"/>
    <w:uiPriority w:val="99"/>
    <w:rsid w:val="00C843A7"/>
  </w:style>
  <w:style w:type="character" w:styleId="Numrodepage">
    <w:name w:val="page number"/>
    <w:basedOn w:val="Policepardfaut"/>
    <w:uiPriority w:val="99"/>
    <w:semiHidden/>
    <w:unhideWhenUsed/>
    <w:rsid w:val="00C843A7"/>
  </w:style>
  <w:style w:type="paragraph" w:styleId="En-tte">
    <w:name w:val="header"/>
    <w:basedOn w:val="Normal"/>
    <w:link w:val="En-tteCar"/>
    <w:uiPriority w:val="99"/>
    <w:unhideWhenUsed/>
    <w:rsid w:val="00C843A7"/>
    <w:pPr>
      <w:tabs>
        <w:tab w:val="center" w:pos="4536"/>
        <w:tab w:val="right" w:pos="9072"/>
      </w:tabs>
    </w:pPr>
  </w:style>
  <w:style w:type="character" w:customStyle="1" w:styleId="En-tteCar">
    <w:name w:val="En-tête Car"/>
    <w:basedOn w:val="Policepardfaut"/>
    <w:link w:val="En-tte"/>
    <w:uiPriority w:val="99"/>
    <w:rsid w:val="00C84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3082">
      <w:bodyDiv w:val="1"/>
      <w:marLeft w:val="0"/>
      <w:marRight w:val="0"/>
      <w:marTop w:val="0"/>
      <w:marBottom w:val="0"/>
      <w:divBdr>
        <w:top w:val="none" w:sz="0" w:space="0" w:color="auto"/>
        <w:left w:val="none" w:sz="0" w:space="0" w:color="auto"/>
        <w:bottom w:val="none" w:sz="0" w:space="0" w:color="auto"/>
        <w:right w:val="none" w:sz="0" w:space="0" w:color="auto"/>
      </w:divBdr>
    </w:div>
    <w:div w:id="316148386">
      <w:bodyDiv w:val="1"/>
      <w:marLeft w:val="0"/>
      <w:marRight w:val="0"/>
      <w:marTop w:val="0"/>
      <w:marBottom w:val="0"/>
      <w:divBdr>
        <w:top w:val="none" w:sz="0" w:space="0" w:color="auto"/>
        <w:left w:val="none" w:sz="0" w:space="0" w:color="auto"/>
        <w:bottom w:val="none" w:sz="0" w:space="0" w:color="auto"/>
        <w:right w:val="none" w:sz="0" w:space="0" w:color="auto"/>
      </w:divBdr>
    </w:div>
    <w:div w:id="1146358899">
      <w:bodyDiv w:val="1"/>
      <w:marLeft w:val="0"/>
      <w:marRight w:val="0"/>
      <w:marTop w:val="0"/>
      <w:marBottom w:val="0"/>
      <w:divBdr>
        <w:top w:val="none" w:sz="0" w:space="0" w:color="auto"/>
        <w:left w:val="none" w:sz="0" w:space="0" w:color="auto"/>
        <w:bottom w:val="none" w:sz="0" w:space="0" w:color="auto"/>
        <w:right w:val="none" w:sz="0" w:space="0" w:color="auto"/>
      </w:divBdr>
    </w:div>
    <w:div w:id="12783697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1380</Words>
  <Characters>7595</Characters>
  <Application>Microsoft Macintosh Word</Application>
  <DocSecurity>0</DocSecurity>
  <Lines>63</Lines>
  <Paragraphs>17</Paragraphs>
  <ScaleCrop>false</ScaleCrop>
  <Company/>
  <LinksUpToDate>false</LinksUpToDate>
  <CharactersWithSpaces>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cp:revision>
  <cp:lastPrinted>2021-11-08T16:51:00Z</cp:lastPrinted>
  <dcterms:created xsi:type="dcterms:W3CDTF">2023-11-03T07:19:00Z</dcterms:created>
  <dcterms:modified xsi:type="dcterms:W3CDTF">2023-11-03T07:55:00Z</dcterms:modified>
</cp:coreProperties>
</file>