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48F5" w14:textId="0ABF18BF" w:rsidR="0040694E" w:rsidRDefault="0040694E" w:rsidP="0040694E">
      <w:pPr>
        <w:spacing w:after="0" w:line="240" w:lineRule="auto"/>
        <w:jc w:val="center"/>
        <w:rPr>
          <w:rFonts w:ascii="Times New Roman" w:hAnsi="Times New Roman"/>
          <w:b/>
          <w:sz w:val="24"/>
          <w:szCs w:val="24"/>
          <w:u w:val="single"/>
        </w:rPr>
      </w:pPr>
      <w:r w:rsidRPr="0040694E">
        <w:rPr>
          <w:rFonts w:ascii="Times New Roman" w:hAnsi="Times New Roman"/>
          <w:b/>
          <w:sz w:val="24"/>
          <w:szCs w:val="24"/>
          <w:u w:val="single"/>
        </w:rPr>
        <w:t>Suite et fin du cours 9</w:t>
      </w:r>
    </w:p>
    <w:p w14:paraId="08EAA8C7" w14:textId="77777777" w:rsidR="0040694E" w:rsidRDefault="0040694E" w:rsidP="0040694E">
      <w:pPr>
        <w:spacing w:after="0" w:line="240" w:lineRule="auto"/>
        <w:jc w:val="center"/>
        <w:rPr>
          <w:rFonts w:ascii="Times New Roman" w:hAnsi="Times New Roman"/>
          <w:b/>
          <w:sz w:val="24"/>
          <w:szCs w:val="24"/>
          <w:u w:val="single"/>
        </w:rPr>
      </w:pPr>
    </w:p>
    <w:p w14:paraId="61B45850" w14:textId="77777777" w:rsidR="0040694E" w:rsidRPr="0040694E" w:rsidRDefault="0040694E" w:rsidP="0040694E">
      <w:pPr>
        <w:spacing w:after="0" w:line="240" w:lineRule="auto"/>
        <w:jc w:val="center"/>
        <w:rPr>
          <w:rFonts w:ascii="Times New Roman" w:hAnsi="Times New Roman"/>
          <w:b/>
          <w:sz w:val="24"/>
          <w:szCs w:val="24"/>
          <w:u w:val="single"/>
        </w:rPr>
      </w:pPr>
    </w:p>
    <w:p w14:paraId="28EEC440" w14:textId="5622F455" w:rsidR="00D81203" w:rsidRPr="0040694E" w:rsidRDefault="00D81203" w:rsidP="0040694E">
      <w:pPr>
        <w:spacing w:after="0" w:line="240" w:lineRule="auto"/>
        <w:jc w:val="both"/>
        <w:rPr>
          <w:rFonts w:ascii="Times New Roman" w:hAnsi="Times New Roman"/>
          <w:b/>
          <w:sz w:val="24"/>
          <w:szCs w:val="24"/>
        </w:rPr>
      </w:pPr>
      <w:r w:rsidRPr="0040694E">
        <w:rPr>
          <w:rFonts w:ascii="Times New Roman" w:hAnsi="Times New Roman"/>
          <w:b/>
          <w:sz w:val="24"/>
          <w:szCs w:val="24"/>
        </w:rPr>
        <w:t>2.</w:t>
      </w:r>
      <w:r w:rsidRPr="0040694E">
        <w:rPr>
          <w:rFonts w:ascii="Times New Roman" w:hAnsi="Times New Roman"/>
          <w:b/>
          <w:sz w:val="24"/>
          <w:szCs w:val="24"/>
        </w:rPr>
        <w:t>1</w:t>
      </w:r>
      <w:r w:rsidRPr="0040694E">
        <w:rPr>
          <w:rFonts w:ascii="Times New Roman" w:hAnsi="Times New Roman"/>
          <w:b/>
          <w:sz w:val="24"/>
          <w:szCs w:val="24"/>
        </w:rPr>
        <w:t xml:space="preserve"> Le tournant christologique</w:t>
      </w:r>
    </w:p>
    <w:p w14:paraId="6AEBA01B" w14:textId="0D700F3E" w:rsidR="00D81203" w:rsidRPr="0040694E" w:rsidRDefault="00D81203" w:rsidP="0040694E">
      <w:pPr>
        <w:spacing w:line="240" w:lineRule="auto"/>
        <w:jc w:val="both"/>
        <w:rPr>
          <w:rFonts w:ascii="Times New Roman" w:hAnsi="Times New Roman"/>
          <w:sz w:val="24"/>
          <w:szCs w:val="24"/>
        </w:rPr>
      </w:pPr>
      <w:r w:rsidRPr="0040694E">
        <w:rPr>
          <w:rFonts w:ascii="Times New Roman" w:hAnsi="Times New Roman"/>
          <w:sz w:val="24"/>
          <w:szCs w:val="24"/>
        </w:rPr>
        <w:t>C</w:t>
      </w:r>
      <w:r w:rsidRPr="0040694E">
        <w:rPr>
          <w:rFonts w:ascii="Times New Roman" w:hAnsi="Times New Roman"/>
          <w:sz w:val="24"/>
          <w:szCs w:val="24"/>
        </w:rPr>
        <w:t>’est</w:t>
      </w:r>
      <w:r w:rsidRPr="0040694E">
        <w:rPr>
          <w:rFonts w:ascii="Times New Roman" w:hAnsi="Times New Roman"/>
          <w:b/>
          <w:sz w:val="24"/>
          <w:szCs w:val="24"/>
        </w:rPr>
        <w:t xml:space="preserve"> </w:t>
      </w:r>
      <w:r w:rsidRPr="0040694E">
        <w:rPr>
          <w:rFonts w:ascii="Times New Roman" w:hAnsi="Times New Roman"/>
          <w:sz w:val="24"/>
          <w:szCs w:val="24"/>
        </w:rPr>
        <w:t>à partir des années 1950 que tous les champs de la théologie ont été explorés de manière nouvelle, que ce soit du côté de l’Histoire, des Écritures ou de ce qui constitue la personne du Christ, et cela y compris en ce qui concerne la question de sa liberté</w:t>
      </w:r>
      <w:r w:rsidRPr="0040694E">
        <w:rPr>
          <w:rFonts w:ascii="Times New Roman" w:hAnsi="Times New Roman"/>
          <w:sz w:val="24"/>
          <w:szCs w:val="24"/>
        </w:rPr>
        <w:t xml:space="preserve">, </w:t>
      </w:r>
      <w:r w:rsidRPr="0040694E">
        <w:rPr>
          <w:rFonts w:ascii="Times New Roman" w:hAnsi="Times New Roman"/>
          <w:sz w:val="24"/>
          <w:szCs w:val="24"/>
        </w:rPr>
        <w:t xml:space="preserve">de sa volonté et même </w:t>
      </w:r>
      <w:r w:rsidRPr="0040694E">
        <w:rPr>
          <w:rFonts w:ascii="Times New Roman" w:hAnsi="Times New Roman"/>
          <w:sz w:val="24"/>
          <w:szCs w:val="24"/>
        </w:rPr>
        <w:t>de ce qui serait relatif à</w:t>
      </w:r>
      <w:r w:rsidRPr="0040694E">
        <w:rPr>
          <w:rFonts w:ascii="Times New Roman" w:hAnsi="Times New Roman"/>
          <w:sz w:val="24"/>
          <w:szCs w:val="24"/>
        </w:rPr>
        <w:t xml:space="preserve"> </w:t>
      </w:r>
      <w:r w:rsidRPr="0040694E">
        <w:rPr>
          <w:rFonts w:ascii="Times New Roman" w:hAnsi="Times New Roman"/>
          <w:sz w:val="24"/>
          <w:szCs w:val="24"/>
        </w:rPr>
        <w:t>s</w:t>
      </w:r>
      <w:r w:rsidRPr="0040694E">
        <w:rPr>
          <w:rFonts w:ascii="Times New Roman" w:hAnsi="Times New Roman"/>
          <w:sz w:val="24"/>
          <w:szCs w:val="24"/>
        </w:rPr>
        <w:t>a conscience</w:t>
      </w:r>
      <w:r w:rsidRPr="0040694E">
        <w:rPr>
          <w:rFonts w:ascii="Times New Roman" w:hAnsi="Times New Roman"/>
          <w:sz w:val="24"/>
          <w:szCs w:val="24"/>
        </w:rPr>
        <w:t xml:space="preserve"> : </w:t>
      </w:r>
      <w:r w:rsidRPr="0040694E">
        <w:rPr>
          <w:rFonts w:ascii="Times New Roman" w:hAnsi="Times New Roman"/>
          <w:sz w:val="24"/>
          <w:szCs w:val="24"/>
        </w:rPr>
        <w:t xml:space="preserve">Jésus avait de lui-même </w:t>
      </w:r>
      <w:r w:rsidRPr="0040694E">
        <w:rPr>
          <w:rFonts w:ascii="Times New Roman" w:hAnsi="Times New Roman"/>
          <w:sz w:val="24"/>
          <w:szCs w:val="24"/>
        </w:rPr>
        <w:t xml:space="preserve">comme Fils de Dieu </w:t>
      </w:r>
      <w:r w:rsidRPr="0040694E">
        <w:rPr>
          <w:rFonts w:ascii="Times New Roman" w:hAnsi="Times New Roman"/>
          <w:sz w:val="24"/>
          <w:szCs w:val="24"/>
        </w:rPr>
        <w:t>et de sa mission</w:t>
      </w:r>
      <w:r w:rsidRPr="0040694E">
        <w:rPr>
          <w:rFonts w:ascii="Times New Roman" w:hAnsi="Times New Roman"/>
          <w:sz w:val="24"/>
          <w:szCs w:val="24"/>
        </w:rPr>
        <w:t> ?</w:t>
      </w:r>
      <w:r w:rsidRPr="0040694E">
        <w:rPr>
          <w:rFonts w:ascii="Times New Roman" w:hAnsi="Times New Roman"/>
          <w:sz w:val="24"/>
          <w:szCs w:val="24"/>
        </w:rPr>
        <w:t xml:space="preserve"> </w:t>
      </w:r>
    </w:p>
    <w:p w14:paraId="6C6A0DA0" w14:textId="70C69E69" w:rsidR="00D81203" w:rsidRPr="0040694E" w:rsidRDefault="00D81203" w:rsidP="0040694E">
      <w:pPr>
        <w:spacing w:line="240" w:lineRule="auto"/>
        <w:jc w:val="both"/>
        <w:rPr>
          <w:rFonts w:ascii="Times New Roman" w:hAnsi="Times New Roman"/>
          <w:sz w:val="24"/>
          <w:szCs w:val="24"/>
        </w:rPr>
      </w:pPr>
      <w:r w:rsidRPr="0040694E">
        <w:rPr>
          <w:rFonts w:ascii="Times New Roman" w:hAnsi="Times New Roman"/>
          <w:sz w:val="24"/>
          <w:szCs w:val="24"/>
        </w:rPr>
        <w:t>C’est une période propice</w:t>
      </w:r>
      <w:r w:rsidRPr="0040694E">
        <w:rPr>
          <w:rFonts w:ascii="Times New Roman" w:hAnsi="Times New Roman"/>
          <w:sz w:val="24"/>
          <w:szCs w:val="24"/>
        </w:rPr>
        <w:t xml:space="preserve"> où</w:t>
      </w:r>
      <w:r w:rsidRPr="0040694E">
        <w:rPr>
          <w:rFonts w:ascii="Times New Roman" w:hAnsi="Times New Roman"/>
          <w:sz w:val="24"/>
          <w:szCs w:val="24"/>
        </w:rPr>
        <w:t xml:space="preserve"> les théologiens expriment leur position</w:t>
      </w:r>
      <w:r w:rsidRPr="0040694E">
        <w:rPr>
          <w:rFonts w:ascii="Times New Roman" w:hAnsi="Times New Roman"/>
          <w:sz w:val="24"/>
          <w:szCs w:val="24"/>
        </w:rPr>
        <w:t>,</w:t>
      </w:r>
      <w:r w:rsidRPr="0040694E">
        <w:rPr>
          <w:rFonts w:ascii="Times New Roman" w:hAnsi="Times New Roman"/>
          <w:sz w:val="24"/>
          <w:szCs w:val="24"/>
        </w:rPr>
        <w:t xml:space="preserve"> leur</w:t>
      </w:r>
      <w:r w:rsidRPr="0040694E">
        <w:rPr>
          <w:rFonts w:ascii="Times New Roman" w:hAnsi="Times New Roman"/>
          <w:sz w:val="24"/>
          <w:szCs w:val="24"/>
        </w:rPr>
        <w:t>s</w:t>
      </w:r>
      <w:r w:rsidRPr="0040694E">
        <w:rPr>
          <w:rFonts w:ascii="Times New Roman" w:hAnsi="Times New Roman"/>
          <w:sz w:val="24"/>
          <w:szCs w:val="24"/>
        </w:rPr>
        <w:t xml:space="preserve"> critique</w:t>
      </w:r>
      <w:r w:rsidRPr="0040694E">
        <w:rPr>
          <w:rFonts w:ascii="Times New Roman" w:hAnsi="Times New Roman"/>
          <w:sz w:val="24"/>
          <w:szCs w:val="24"/>
        </w:rPr>
        <w:t>s</w:t>
      </w:r>
      <w:r w:rsidRPr="0040694E">
        <w:rPr>
          <w:rFonts w:ascii="Times New Roman" w:hAnsi="Times New Roman"/>
          <w:sz w:val="24"/>
          <w:szCs w:val="24"/>
        </w:rPr>
        <w:t xml:space="preserve"> et multiplient les publications. C’est </w:t>
      </w:r>
      <w:r w:rsidRPr="0040694E">
        <w:rPr>
          <w:rFonts w:ascii="Times New Roman" w:hAnsi="Times New Roman"/>
          <w:sz w:val="24"/>
          <w:szCs w:val="24"/>
        </w:rPr>
        <w:t xml:space="preserve">aussi </w:t>
      </w:r>
      <w:r w:rsidRPr="0040694E">
        <w:rPr>
          <w:rFonts w:ascii="Times New Roman" w:hAnsi="Times New Roman"/>
          <w:sz w:val="24"/>
          <w:szCs w:val="24"/>
        </w:rPr>
        <w:t>une période décisive pour le renouveau théologique et christologique.</w:t>
      </w:r>
    </w:p>
    <w:p w14:paraId="3B99A53E"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C’est le moment où Karl Rahner met en œuvre une théologie fondamentale appuyée sur une anthropologie qui cherche à répondre à la question de l’homme en devenir face à Dieu qui lui parle.</w:t>
      </w:r>
    </w:p>
    <w:p w14:paraId="10650794"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 xml:space="preserve">C’est aussi la position de W. </w:t>
      </w:r>
      <w:proofErr w:type="spellStart"/>
      <w:r w:rsidRPr="0040694E">
        <w:rPr>
          <w:rFonts w:ascii="Times New Roman" w:eastAsia="Times New Roman" w:hAnsi="Times New Roman" w:cs="Times New Roman"/>
          <w:sz w:val="24"/>
          <w:szCs w:val="24"/>
        </w:rPr>
        <w:t>Pannenberg</w:t>
      </w:r>
      <w:proofErr w:type="spellEnd"/>
      <w:r w:rsidRPr="0040694E">
        <w:rPr>
          <w:rFonts w:ascii="Times New Roman" w:eastAsia="Times New Roman" w:hAnsi="Times New Roman" w:cs="Times New Roman"/>
          <w:sz w:val="24"/>
          <w:szCs w:val="24"/>
        </w:rPr>
        <w:t> (1928-2014, théologien allemand) : il faut replacer Jésus au centre de toute compréhension et de toute interprétation. Pour lui, « la démarche de la christologie commence par Jésus lui-même, pour trouver Dieu en lui. Il faut alors également supposer l’idée de Dieu déjà connue dans son histoire et dans sa réalité »</w:t>
      </w:r>
      <w:r w:rsidRPr="0040694E">
        <w:rPr>
          <w:rStyle w:val="Appelnotedebasdep"/>
          <w:rFonts w:ascii="Times New Roman" w:eastAsia="Times New Roman" w:hAnsi="Times New Roman" w:cs="Times New Roman"/>
          <w:sz w:val="24"/>
          <w:szCs w:val="24"/>
        </w:rPr>
        <w:footnoteReference w:id="1"/>
      </w:r>
      <w:r w:rsidRPr="0040694E">
        <w:rPr>
          <w:rFonts w:ascii="Times New Roman" w:eastAsia="Times New Roman" w:hAnsi="Times New Roman" w:cs="Times New Roman"/>
          <w:sz w:val="24"/>
          <w:szCs w:val="24"/>
        </w:rPr>
        <w:t xml:space="preserve">. </w:t>
      </w:r>
    </w:p>
    <w:p w14:paraId="0EE07A42" w14:textId="7617A5CD"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Ainsi, il va s’appuyer sur l’objet même de la christologie en posant la question</w:t>
      </w:r>
      <w:r w:rsidRPr="0040694E">
        <w:rPr>
          <w:rFonts w:ascii="Times New Roman" w:eastAsia="Times New Roman" w:hAnsi="Times New Roman" w:cs="Times New Roman"/>
          <w:sz w:val="24"/>
          <w:szCs w:val="24"/>
        </w:rPr>
        <w:t> :</w:t>
      </w:r>
      <w:r w:rsidRPr="0040694E">
        <w:rPr>
          <w:rFonts w:ascii="Times New Roman" w:eastAsia="Times New Roman" w:hAnsi="Times New Roman" w:cs="Times New Roman"/>
          <w:sz w:val="24"/>
          <w:szCs w:val="24"/>
        </w:rPr>
        <w:t xml:space="preserve"> cet objet « est-il en premier lieu le Jésus d’autrefois ou le Jésus présent aujourd’hui ? »</w:t>
      </w:r>
      <w:r w:rsidRPr="0040694E">
        <w:rPr>
          <w:rStyle w:val="Appelnotedebasdep"/>
          <w:rFonts w:ascii="Times New Roman" w:eastAsia="Times New Roman" w:hAnsi="Times New Roman" w:cs="Times New Roman"/>
          <w:sz w:val="24"/>
          <w:szCs w:val="24"/>
        </w:rPr>
        <w:footnoteReference w:id="2"/>
      </w:r>
      <w:r w:rsidRPr="0040694E">
        <w:rPr>
          <w:rFonts w:ascii="Times New Roman" w:eastAsia="Times New Roman" w:hAnsi="Times New Roman" w:cs="Times New Roman"/>
          <w:sz w:val="24"/>
          <w:szCs w:val="24"/>
        </w:rPr>
        <w:t xml:space="preserve">. La difficulté de la christologie tient </w:t>
      </w:r>
      <w:r w:rsidRPr="0040694E">
        <w:rPr>
          <w:rFonts w:ascii="Times New Roman" w:eastAsia="Times New Roman" w:hAnsi="Times New Roman" w:cs="Times New Roman"/>
          <w:sz w:val="24"/>
          <w:szCs w:val="24"/>
        </w:rPr>
        <w:t xml:space="preserve">alors </w:t>
      </w:r>
      <w:r w:rsidRPr="0040694E">
        <w:rPr>
          <w:rFonts w:ascii="Times New Roman" w:eastAsia="Times New Roman" w:hAnsi="Times New Roman" w:cs="Times New Roman"/>
          <w:sz w:val="24"/>
          <w:szCs w:val="24"/>
        </w:rPr>
        <w:t>en une question : peut-on aborder de manière unilatérale soit le Jésus de l’histoire soit le Jésus de la foi pour aujourd’hui ?</w:t>
      </w:r>
    </w:p>
    <w:p w14:paraId="54BEE003" w14:textId="46E6E024"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Cette interrogation</w:t>
      </w:r>
      <w:r w:rsidRPr="0040694E">
        <w:rPr>
          <w:rFonts w:ascii="Times New Roman" w:eastAsia="Times New Roman" w:hAnsi="Times New Roman" w:cs="Times New Roman"/>
          <w:sz w:val="24"/>
          <w:szCs w:val="24"/>
        </w:rPr>
        <w:t xml:space="preserve"> se retrouve au cœur de la préoccupation des théologiens et des exégètes qui désirent « remettre » Jésus-Christ </w:t>
      </w:r>
      <w:r w:rsidRPr="0040694E">
        <w:rPr>
          <w:rFonts w:ascii="Times New Roman" w:eastAsia="Times New Roman" w:hAnsi="Times New Roman" w:cs="Times New Roman"/>
          <w:i/>
          <w:sz w:val="24"/>
          <w:szCs w:val="24"/>
        </w:rPr>
        <w:t>et</w:t>
      </w:r>
      <w:r w:rsidRPr="0040694E">
        <w:rPr>
          <w:rFonts w:ascii="Times New Roman" w:eastAsia="Times New Roman" w:hAnsi="Times New Roman" w:cs="Times New Roman"/>
          <w:sz w:val="24"/>
          <w:szCs w:val="24"/>
        </w:rPr>
        <w:t xml:space="preserve"> l’existence chrétienne au cœur du discours théologique dont la christologie est le socle. </w:t>
      </w:r>
    </w:p>
    <w:p w14:paraId="39A4A91C" w14:textId="5A5803A0"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 xml:space="preserve">Cette préoccupation dogmatique a eu des conséquences sur les différentes postures christologiques face à l’existence chrétienne en établissant soit une christologie « d’en haut » </w:t>
      </w:r>
      <w:r w:rsidRPr="0040694E">
        <w:rPr>
          <w:rFonts w:ascii="Times New Roman" w:eastAsia="Times New Roman" w:hAnsi="Times New Roman" w:cs="Times New Roman"/>
          <w:sz w:val="24"/>
          <w:szCs w:val="24"/>
        </w:rPr>
        <w:t xml:space="preserve">(une christologie qui part de Dieu lui-même et qui descend) soit une christologie </w:t>
      </w:r>
      <w:r w:rsidRPr="0040694E">
        <w:rPr>
          <w:rFonts w:ascii="Times New Roman" w:eastAsia="Times New Roman" w:hAnsi="Times New Roman" w:cs="Times New Roman"/>
          <w:sz w:val="24"/>
          <w:szCs w:val="24"/>
        </w:rPr>
        <w:t>« d’en bas »</w:t>
      </w:r>
      <w:r w:rsidRPr="0040694E">
        <w:rPr>
          <w:rFonts w:ascii="Times New Roman" w:eastAsia="Times New Roman" w:hAnsi="Times New Roman" w:cs="Times New Roman"/>
          <w:sz w:val="24"/>
          <w:szCs w:val="24"/>
        </w:rPr>
        <w:t xml:space="preserve"> (une christologie qui part de Jésus Christ et remonte vers le Père). C’est</w:t>
      </w:r>
      <w:r w:rsidRPr="0040694E">
        <w:rPr>
          <w:rFonts w:ascii="Times New Roman" w:eastAsia="Times New Roman" w:hAnsi="Times New Roman" w:cs="Times New Roman"/>
          <w:sz w:val="24"/>
          <w:szCs w:val="24"/>
        </w:rPr>
        <w:t xml:space="preserve"> cette dernière</w:t>
      </w:r>
      <w:r w:rsidRPr="0040694E">
        <w:rPr>
          <w:rFonts w:ascii="Times New Roman" w:eastAsia="Times New Roman" w:hAnsi="Times New Roman" w:cs="Times New Roman"/>
          <w:sz w:val="24"/>
          <w:szCs w:val="24"/>
        </w:rPr>
        <w:t xml:space="preserve"> </w:t>
      </w:r>
      <w:proofErr w:type="gramStart"/>
      <w:r w:rsidRPr="0040694E">
        <w:rPr>
          <w:rFonts w:ascii="Times New Roman" w:eastAsia="Times New Roman" w:hAnsi="Times New Roman" w:cs="Times New Roman"/>
          <w:sz w:val="24"/>
          <w:szCs w:val="24"/>
        </w:rPr>
        <w:t xml:space="preserve">qui </w:t>
      </w:r>
      <w:r w:rsidRPr="0040694E">
        <w:rPr>
          <w:rFonts w:ascii="Times New Roman" w:eastAsia="Times New Roman" w:hAnsi="Times New Roman" w:cs="Times New Roman"/>
          <w:sz w:val="24"/>
          <w:szCs w:val="24"/>
        </w:rPr>
        <w:t xml:space="preserve"> semble</w:t>
      </w:r>
      <w:proofErr w:type="gramEnd"/>
      <w:r w:rsidRPr="0040694E">
        <w:rPr>
          <w:rFonts w:ascii="Times New Roman" w:eastAsia="Times New Roman" w:hAnsi="Times New Roman" w:cs="Times New Roman"/>
          <w:sz w:val="24"/>
          <w:szCs w:val="24"/>
        </w:rPr>
        <w:t xml:space="preserve"> précisément s’adresser au monde contemporain. </w:t>
      </w:r>
    </w:p>
    <w:p w14:paraId="7CF85EBA"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 xml:space="preserve">Cette période aura permis d’ouvrir un dialogue fécond entre protestants et catholiques, et particulièrement entre Karl Barth et Hans Urs von Balthasar qui peut témoigner en 1951 qu’à l’intérieur du protestantisme, ce dialogue a aussi obligé </w:t>
      </w:r>
    </w:p>
    <w:p w14:paraId="5F56F151" w14:textId="77777777" w:rsidR="00D81203" w:rsidRPr="0040694E" w:rsidRDefault="00D81203" w:rsidP="0040694E">
      <w:pPr>
        <w:spacing w:line="240" w:lineRule="auto"/>
        <w:ind w:left="708"/>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 xml:space="preserve">« Les plus courageux à ne pas se dérober plus longtemps aux exigences rigoureuses de la véritable théologie, même si la tâche est difficile, même si la recherche d’une dogmatique à la mesure des horizons qui nous sont ouverts aujourd’hui peut paraître quelque chose qui est devenu de l’ordre du surhumain. Ils ne pourront pas ne pas reconnaître que pendant que les intelligences les plus aiguisées se sont occupées de l’existentialisme, de Rilke ou de Kafka, Karl Barth a, de manière ininterrompue, cherché </w:t>
      </w:r>
      <w:r w:rsidRPr="0040694E">
        <w:rPr>
          <w:rFonts w:ascii="Times New Roman" w:eastAsia="Times New Roman" w:hAnsi="Times New Roman" w:cs="Times New Roman"/>
          <w:sz w:val="24"/>
          <w:szCs w:val="24"/>
        </w:rPr>
        <w:lastRenderedPageBreak/>
        <w:t>et fait « l’unique nécessaire » : parler de Jésus-Christ de manière compréhensible pour tous et cependant de façon rigoureusement théologique »</w:t>
      </w:r>
      <w:r w:rsidRPr="0040694E">
        <w:rPr>
          <w:rStyle w:val="Appelnotedebasdep"/>
          <w:rFonts w:ascii="Times New Roman" w:eastAsia="Times New Roman" w:hAnsi="Times New Roman" w:cs="Times New Roman"/>
          <w:sz w:val="24"/>
          <w:szCs w:val="24"/>
        </w:rPr>
        <w:footnoteReference w:id="3"/>
      </w:r>
      <w:r w:rsidRPr="0040694E">
        <w:rPr>
          <w:rFonts w:ascii="Times New Roman" w:eastAsia="Times New Roman" w:hAnsi="Times New Roman" w:cs="Times New Roman"/>
          <w:sz w:val="24"/>
          <w:szCs w:val="24"/>
        </w:rPr>
        <w:t>.</w:t>
      </w:r>
    </w:p>
    <w:p w14:paraId="2574920F"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 xml:space="preserve">Il y a chez les deux théologiens une même volonté de ne pas « composer » une théologie </w:t>
      </w:r>
      <w:r w:rsidRPr="0040694E">
        <w:rPr>
          <w:rFonts w:ascii="Times New Roman" w:eastAsia="Times New Roman" w:hAnsi="Times New Roman" w:cs="Times New Roman"/>
          <w:i/>
          <w:sz w:val="24"/>
          <w:szCs w:val="24"/>
        </w:rPr>
        <w:t xml:space="preserve">cacophonique </w:t>
      </w:r>
      <w:r w:rsidRPr="0040694E">
        <w:rPr>
          <w:rFonts w:ascii="Times New Roman" w:eastAsia="Times New Roman" w:hAnsi="Times New Roman" w:cs="Times New Roman"/>
          <w:sz w:val="24"/>
          <w:szCs w:val="24"/>
        </w:rPr>
        <w:t xml:space="preserve">mais de rendre compte de Jésus-Christ avec la rigueur théologique qu’impose la détermination de la foi. </w:t>
      </w:r>
    </w:p>
    <w:p w14:paraId="041416EE" w14:textId="77777777" w:rsidR="00D81203" w:rsidRPr="0040694E" w:rsidRDefault="00D81203" w:rsidP="0040694E">
      <w:pPr>
        <w:spacing w:after="0" w:line="240" w:lineRule="auto"/>
        <w:jc w:val="both"/>
        <w:rPr>
          <w:rFonts w:ascii="Times New Roman" w:eastAsia="Times New Roman" w:hAnsi="Times New Roman" w:cs="Times New Roman"/>
          <w:b/>
          <w:sz w:val="24"/>
          <w:szCs w:val="24"/>
        </w:rPr>
      </w:pPr>
      <w:r w:rsidRPr="0040694E">
        <w:rPr>
          <w:rFonts w:ascii="Times New Roman" w:eastAsia="Times New Roman" w:hAnsi="Times New Roman" w:cs="Times New Roman"/>
          <w:b/>
          <w:sz w:val="24"/>
          <w:szCs w:val="24"/>
        </w:rPr>
        <w:t>2.3 La mission en héritage, la mission comme acte de croire</w:t>
      </w:r>
    </w:p>
    <w:p w14:paraId="11C054E6"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En raison de la mission reçue en héritage des apôtres par le Christ, nous sommes personnalisés comme chrétien à partir du moment où nous consentons à la mission du Christ en Eglise.</w:t>
      </w:r>
    </w:p>
    <w:p w14:paraId="1A85A405" w14:textId="77777777" w:rsidR="00D81203" w:rsidRPr="0040694E" w:rsidRDefault="00D81203" w:rsidP="0040694E">
      <w:pPr>
        <w:pStyle w:val="Paragraphedeliste"/>
        <w:numPr>
          <w:ilvl w:val="0"/>
          <w:numId w:val="1"/>
        </w:num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Ce consentement nous fait entrer dans la vocation et la sainteté du Christ</w:t>
      </w:r>
    </w:p>
    <w:p w14:paraId="13F20A98" w14:textId="77777777" w:rsidR="00D81203" w:rsidRPr="0040694E" w:rsidRDefault="00D81203" w:rsidP="0040694E">
      <w:pPr>
        <w:pStyle w:val="Paragraphedeliste"/>
        <w:numPr>
          <w:ilvl w:val="1"/>
          <w:numId w:val="1"/>
        </w:num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C’est le consentement de notre baptême</w:t>
      </w:r>
    </w:p>
    <w:p w14:paraId="478D143A" w14:textId="77777777" w:rsidR="00D81203" w:rsidRPr="0040694E" w:rsidRDefault="00D81203" w:rsidP="0040694E">
      <w:pPr>
        <w:pStyle w:val="Paragraphedeliste"/>
        <w:numPr>
          <w:ilvl w:val="2"/>
          <w:numId w:val="1"/>
        </w:num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Et notre baptême nous donne de participer à l’unique mission du Christ.</w:t>
      </w:r>
    </w:p>
    <w:p w14:paraId="0A4DD8F4" w14:textId="19210D0D"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Nous devons suivre, aujourd’hui, cette formidable intuition des disciples qui ont reçu la mission non pas seulement comme une charge mais comme une grâce</w:t>
      </w:r>
      <w:r w:rsidRPr="0040694E">
        <w:rPr>
          <w:rFonts w:ascii="Times New Roman" w:eastAsia="Times New Roman" w:hAnsi="Times New Roman" w:cs="Times New Roman"/>
          <w:sz w:val="24"/>
          <w:szCs w:val="24"/>
        </w:rPr>
        <w:t xml:space="preserve"> </w:t>
      </w:r>
      <w:r w:rsidRPr="0040694E">
        <w:rPr>
          <w:rFonts w:ascii="Times New Roman" w:eastAsia="Times New Roman" w:hAnsi="Times New Roman" w:cs="Times New Roman"/>
          <w:sz w:val="24"/>
          <w:szCs w:val="24"/>
        </w:rPr>
        <w:t xml:space="preserve">commune </w:t>
      </w:r>
      <w:r w:rsidRPr="0040694E">
        <w:rPr>
          <w:rFonts w:ascii="Times New Roman" w:eastAsia="Times New Roman" w:hAnsi="Times New Roman" w:cs="Times New Roman"/>
          <w:sz w:val="24"/>
          <w:szCs w:val="24"/>
        </w:rPr>
        <w:t>mais</w:t>
      </w:r>
      <w:r w:rsidRPr="0040694E">
        <w:rPr>
          <w:rFonts w:ascii="Times New Roman" w:eastAsia="Times New Roman" w:hAnsi="Times New Roman" w:cs="Times New Roman"/>
          <w:sz w:val="24"/>
          <w:szCs w:val="24"/>
        </w:rPr>
        <w:t xml:space="preserve"> aussi à partager.</w:t>
      </w:r>
    </w:p>
    <w:p w14:paraId="6788C0FC"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Cette mission commune vient compléter leur mission individuelle au nom de leur baptême.</w:t>
      </w:r>
    </w:p>
    <w:p w14:paraId="0460742B"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Comme le dit l’hymne aux Ephésiens « gratifiés de la grâce dans le Bien-aimé », nous sommes inclus dans le Fils.</w:t>
      </w:r>
    </w:p>
    <w:p w14:paraId="03554953"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Luis seul nous conduit dans le lieu de sa filiation originale et nous invite à participer à la vie trinitaire.</w:t>
      </w:r>
    </w:p>
    <w:p w14:paraId="79EAB55D" w14:textId="77777777" w:rsidR="00D81203" w:rsidRPr="0040694E" w:rsidRDefault="00D81203" w:rsidP="0040694E">
      <w:pPr>
        <w:spacing w:after="0" w:line="240" w:lineRule="auto"/>
        <w:jc w:val="both"/>
        <w:rPr>
          <w:rFonts w:ascii="Times New Roman" w:eastAsia="Times New Roman" w:hAnsi="Times New Roman" w:cs="Times New Roman"/>
          <w:b/>
          <w:sz w:val="24"/>
          <w:szCs w:val="24"/>
        </w:rPr>
      </w:pPr>
      <w:r w:rsidRPr="0040694E">
        <w:rPr>
          <w:rFonts w:ascii="Times New Roman" w:eastAsia="Times New Roman" w:hAnsi="Times New Roman" w:cs="Times New Roman"/>
          <w:b/>
          <w:sz w:val="24"/>
          <w:szCs w:val="24"/>
        </w:rPr>
        <w:t>Conclusion</w:t>
      </w:r>
    </w:p>
    <w:p w14:paraId="3C3CA42D" w14:textId="77777777" w:rsidR="00D81203" w:rsidRPr="0040694E" w:rsidRDefault="00D81203" w:rsidP="0040694E">
      <w:pPr>
        <w:spacing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L’enjeu de la théologie comme langage de la foi engage un acte de croire au niveau :</w:t>
      </w:r>
    </w:p>
    <w:p w14:paraId="7D7338C5" w14:textId="77777777" w:rsidR="00D81203" w:rsidRPr="0040694E" w:rsidRDefault="00D81203" w:rsidP="0040694E">
      <w:pPr>
        <w:pStyle w:val="Paragraphedeliste"/>
        <w:numPr>
          <w:ilvl w:val="0"/>
          <w:numId w:val="1"/>
        </w:numPr>
        <w:spacing w:line="240" w:lineRule="auto"/>
        <w:jc w:val="both"/>
        <w:rPr>
          <w:rFonts w:ascii="Times New Roman" w:eastAsia="Times New Roman" w:hAnsi="Times New Roman" w:cs="Times New Roman"/>
          <w:sz w:val="24"/>
          <w:szCs w:val="24"/>
        </w:rPr>
      </w:pPr>
      <w:proofErr w:type="gramStart"/>
      <w:r w:rsidRPr="0040694E">
        <w:rPr>
          <w:rFonts w:ascii="Times New Roman" w:eastAsia="Times New Roman" w:hAnsi="Times New Roman" w:cs="Times New Roman"/>
          <w:sz w:val="24"/>
          <w:szCs w:val="24"/>
        </w:rPr>
        <w:t>de</w:t>
      </w:r>
      <w:proofErr w:type="gramEnd"/>
      <w:r w:rsidRPr="0040694E">
        <w:rPr>
          <w:rFonts w:ascii="Times New Roman" w:eastAsia="Times New Roman" w:hAnsi="Times New Roman" w:cs="Times New Roman"/>
          <w:sz w:val="24"/>
          <w:szCs w:val="24"/>
        </w:rPr>
        <w:t xml:space="preserve"> son intelligibilité </w:t>
      </w:r>
    </w:p>
    <w:p w14:paraId="4855E962" w14:textId="77777777" w:rsidR="00D81203" w:rsidRPr="0040694E" w:rsidRDefault="00D81203" w:rsidP="0040694E">
      <w:pPr>
        <w:pStyle w:val="Paragraphedeliste"/>
        <w:numPr>
          <w:ilvl w:val="0"/>
          <w:numId w:val="1"/>
        </w:numPr>
        <w:spacing w:line="240" w:lineRule="auto"/>
        <w:jc w:val="both"/>
        <w:rPr>
          <w:rFonts w:ascii="Times New Roman" w:eastAsia="Times New Roman" w:hAnsi="Times New Roman" w:cs="Times New Roman"/>
          <w:sz w:val="24"/>
          <w:szCs w:val="24"/>
        </w:rPr>
      </w:pPr>
      <w:proofErr w:type="gramStart"/>
      <w:r w:rsidRPr="0040694E">
        <w:rPr>
          <w:rFonts w:ascii="Times New Roman" w:eastAsia="Times New Roman" w:hAnsi="Times New Roman" w:cs="Times New Roman"/>
          <w:sz w:val="24"/>
          <w:szCs w:val="24"/>
        </w:rPr>
        <w:t>de</w:t>
      </w:r>
      <w:proofErr w:type="gramEnd"/>
      <w:r w:rsidRPr="0040694E">
        <w:rPr>
          <w:rFonts w:ascii="Times New Roman" w:eastAsia="Times New Roman" w:hAnsi="Times New Roman" w:cs="Times New Roman"/>
          <w:sz w:val="24"/>
          <w:szCs w:val="24"/>
        </w:rPr>
        <w:t xml:space="preserve"> sa compréhension « par tous » et « pour tous » dans un même lien à Jésus-Christ, « vraiment homme et vraiment Dieu ».  </w:t>
      </w:r>
    </w:p>
    <w:p w14:paraId="22E72C58" w14:textId="0E0397D5" w:rsidR="00D81203" w:rsidRPr="0040694E" w:rsidRDefault="00D81203" w:rsidP="0040694E">
      <w:pPr>
        <w:pStyle w:val="Paragraphedeliste"/>
        <w:numPr>
          <w:ilvl w:val="0"/>
          <w:numId w:val="1"/>
        </w:numPr>
        <w:spacing w:line="240" w:lineRule="auto"/>
        <w:jc w:val="both"/>
        <w:rPr>
          <w:rFonts w:ascii="Times New Roman" w:eastAsia="Times New Roman" w:hAnsi="Times New Roman" w:cs="Times New Roman"/>
          <w:sz w:val="24"/>
          <w:szCs w:val="24"/>
        </w:rPr>
      </w:pPr>
      <w:proofErr w:type="gramStart"/>
      <w:r w:rsidRPr="0040694E">
        <w:rPr>
          <w:rFonts w:ascii="Times New Roman" w:eastAsia="Times New Roman" w:hAnsi="Times New Roman" w:cs="Times New Roman"/>
          <w:sz w:val="24"/>
          <w:szCs w:val="24"/>
        </w:rPr>
        <w:t>dans</w:t>
      </w:r>
      <w:proofErr w:type="gramEnd"/>
      <w:r w:rsidRPr="0040694E">
        <w:rPr>
          <w:rFonts w:ascii="Times New Roman" w:eastAsia="Times New Roman" w:hAnsi="Times New Roman" w:cs="Times New Roman"/>
          <w:sz w:val="24"/>
          <w:szCs w:val="24"/>
        </w:rPr>
        <w:t xml:space="preserve"> le fait </w:t>
      </w:r>
      <w:proofErr w:type="gramStart"/>
      <w:r w:rsidRPr="0040694E">
        <w:rPr>
          <w:rFonts w:ascii="Times New Roman" w:eastAsia="Times New Roman" w:hAnsi="Times New Roman" w:cs="Times New Roman"/>
          <w:sz w:val="24"/>
          <w:szCs w:val="24"/>
        </w:rPr>
        <w:t>d</w:t>
      </w:r>
      <w:r w:rsidRPr="0040694E">
        <w:rPr>
          <w:rFonts w:ascii="Times New Roman" w:eastAsia="Times New Roman" w:hAnsi="Times New Roman" w:cs="Times New Roman"/>
          <w:sz w:val="24"/>
          <w:szCs w:val="24"/>
        </w:rPr>
        <w:t>’ «</w:t>
      </w:r>
      <w:proofErr w:type="gramEnd"/>
      <w:r w:rsidRPr="0040694E">
        <w:rPr>
          <w:rFonts w:ascii="Times New Roman" w:eastAsia="Times New Roman" w:hAnsi="Times New Roman" w:cs="Times New Roman"/>
          <w:sz w:val="24"/>
          <w:szCs w:val="24"/>
        </w:rPr>
        <w:t xml:space="preserve"> accorder » le langage d’une époque révolue à celui d’une autre </w:t>
      </w:r>
      <w:r w:rsidRPr="0040694E">
        <w:rPr>
          <w:rFonts w:ascii="Times New Roman" w:eastAsia="Times New Roman" w:hAnsi="Times New Roman" w:cs="Times New Roman"/>
          <w:sz w:val="24"/>
          <w:szCs w:val="24"/>
        </w:rPr>
        <w:t xml:space="preserve">nouvelle </w:t>
      </w:r>
      <w:r w:rsidRPr="0040694E">
        <w:rPr>
          <w:rFonts w:ascii="Times New Roman" w:eastAsia="Times New Roman" w:hAnsi="Times New Roman" w:cs="Times New Roman"/>
          <w:sz w:val="24"/>
          <w:szCs w:val="24"/>
        </w:rPr>
        <w:t xml:space="preserve">époque sans trahir pour autant le fondement des affirmations dogmatiques fondatrices pour l’Église et pour la foi. </w:t>
      </w:r>
    </w:p>
    <w:p w14:paraId="363CDBA9" w14:textId="10B2069B" w:rsidR="00D81203" w:rsidRPr="0040694E" w:rsidRDefault="00D81203" w:rsidP="0040694E">
      <w:pPr>
        <w:spacing w:after="0"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Ces débats ont montré </w:t>
      </w:r>
      <w:r w:rsidRPr="0040694E">
        <w:rPr>
          <w:rFonts w:ascii="Times New Roman" w:eastAsia="Times New Roman" w:hAnsi="Times New Roman" w:cs="Times New Roman"/>
          <w:sz w:val="24"/>
          <w:szCs w:val="24"/>
        </w:rPr>
        <w:t>q</w:t>
      </w:r>
      <w:r w:rsidRPr="0040694E">
        <w:rPr>
          <w:rFonts w:ascii="Times New Roman" w:eastAsia="Times New Roman" w:hAnsi="Times New Roman" w:cs="Times New Roman"/>
          <w:sz w:val="24"/>
          <w:szCs w:val="24"/>
        </w:rPr>
        <w:t>uelle était la responsabilité du théologien</w:t>
      </w:r>
      <w:r w:rsidRPr="0040694E">
        <w:rPr>
          <w:rFonts w:ascii="Times New Roman" w:eastAsia="Times New Roman" w:hAnsi="Times New Roman" w:cs="Times New Roman"/>
          <w:sz w:val="24"/>
          <w:szCs w:val="24"/>
        </w:rPr>
        <w:t> :</w:t>
      </w:r>
    </w:p>
    <w:p w14:paraId="57C3A621" w14:textId="643A8756" w:rsidR="00D81203" w:rsidRPr="0040694E" w:rsidRDefault="00D81203" w:rsidP="0040694E">
      <w:pPr>
        <w:pStyle w:val="Paragraphedeliste"/>
        <w:numPr>
          <w:ilvl w:val="1"/>
          <w:numId w:val="2"/>
        </w:numPr>
        <w:spacing w:after="0" w:line="240" w:lineRule="auto"/>
        <w:jc w:val="both"/>
        <w:rPr>
          <w:rFonts w:ascii="Times New Roman" w:eastAsia="Times New Roman" w:hAnsi="Times New Roman" w:cs="Times New Roman"/>
          <w:sz w:val="24"/>
          <w:szCs w:val="24"/>
        </w:rPr>
      </w:pPr>
      <w:proofErr w:type="gramStart"/>
      <w:r w:rsidRPr="0040694E">
        <w:rPr>
          <w:rFonts w:ascii="Times New Roman" w:eastAsia="Times New Roman" w:hAnsi="Times New Roman" w:cs="Times New Roman"/>
          <w:sz w:val="24"/>
          <w:szCs w:val="24"/>
        </w:rPr>
        <w:t>celle</w:t>
      </w:r>
      <w:proofErr w:type="gramEnd"/>
      <w:r w:rsidRPr="0040694E">
        <w:rPr>
          <w:rFonts w:ascii="Times New Roman" w:eastAsia="Times New Roman" w:hAnsi="Times New Roman" w:cs="Times New Roman"/>
          <w:sz w:val="24"/>
          <w:szCs w:val="24"/>
        </w:rPr>
        <w:t xml:space="preserve"> d</w:t>
      </w:r>
      <w:r w:rsidRPr="0040694E">
        <w:rPr>
          <w:rFonts w:ascii="Times New Roman" w:eastAsia="Times New Roman" w:hAnsi="Times New Roman" w:cs="Times New Roman"/>
          <w:sz w:val="24"/>
          <w:szCs w:val="24"/>
        </w:rPr>
        <w:t xml:space="preserve">’élaborer </w:t>
      </w:r>
      <w:r w:rsidRPr="0040694E">
        <w:rPr>
          <w:rFonts w:ascii="Times New Roman" w:eastAsia="Times New Roman" w:hAnsi="Times New Roman" w:cs="Times New Roman"/>
          <w:sz w:val="24"/>
          <w:szCs w:val="24"/>
        </w:rPr>
        <w:t>un</w:t>
      </w:r>
      <w:r w:rsidRPr="0040694E">
        <w:rPr>
          <w:rFonts w:ascii="Times New Roman" w:eastAsia="Times New Roman" w:hAnsi="Times New Roman" w:cs="Times New Roman"/>
          <w:sz w:val="24"/>
          <w:szCs w:val="24"/>
        </w:rPr>
        <w:t xml:space="preserve"> discours dans un langage audible pour ses contemporains, </w:t>
      </w:r>
    </w:p>
    <w:p w14:paraId="07C921A0" w14:textId="1898F096" w:rsidR="00D81203" w:rsidRPr="0040694E" w:rsidRDefault="00D81203" w:rsidP="0040694E">
      <w:pPr>
        <w:pStyle w:val="Paragraphedeliste"/>
        <w:numPr>
          <w:ilvl w:val="1"/>
          <w:numId w:val="2"/>
        </w:numPr>
        <w:spacing w:after="0" w:line="240" w:lineRule="auto"/>
        <w:jc w:val="both"/>
        <w:rPr>
          <w:rFonts w:ascii="Times New Roman" w:eastAsia="Times New Roman" w:hAnsi="Times New Roman" w:cs="Times New Roman"/>
          <w:sz w:val="24"/>
          <w:szCs w:val="24"/>
        </w:rPr>
      </w:pPr>
      <w:proofErr w:type="gramStart"/>
      <w:r w:rsidRPr="0040694E">
        <w:rPr>
          <w:rFonts w:ascii="Times New Roman" w:eastAsia="Times New Roman" w:hAnsi="Times New Roman" w:cs="Times New Roman"/>
          <w:sz w:val="24"/>
          <w:szCs w:val="24"/>
        </w:rPr>
        <w:t>celle</w:t>
      </w:r>
      <w:proofErr w:type="gramEnd"/>
      <w:r w:rsidRPr="0040694E">
        <w:rPr>
          <w:rFonts w:ascii="Times New Roman" w:eastAsia="Times New Roman" w:hAnsi="Times New Roman" w:cs="Times New Roman"/>
          <w:sz w:val="24"/>
          <w:szCs w:val="24"/>
        </w:rPr>
        <w:t xml:space="preserve"> de f</w:t>
      </w:r>
      <w:r w:rsidRPr="0040694E">
        <w:rPr>
          <w:rFonts w:ascii="Times New Roman" w:eastAsia="Times New Roman" w:hAnsi="Times New Roman" w:cs="Times New Roman"/>
          <w:sz w:val="24"/>
          <w:szCs w:val="24"/>
        </w:rPr>
        <w:t>aire en sorte que la Révélation soit la norme de la théologie.</w:t>
      </w:r>
    </w:p>
    <w:p w14:paraId="4A1B9E3D" w14:textId="77777777" w:rsidR="00D81203" w:rsidRPr="0040694E" w:rsidRDefault="00D81203" w:rsidP="0040694E">
      <w:pPr>
        <w:pStyle w:val="Paragraphedeliste"/>
        <w:spacing w:after="0" w:line="240" w:lineRule="auto"/>
        <w:ind w:left="1440"/>
        <w:jc w:val="both"/>
        <w:rPr>
          <w:rFonts w:ascii="Times New Roman" w:eastAsia="Times New Roman" w:hAnsi="Times New Roman" w:cs="Times New Roman"/>
          <w:sz w:val="24"/>
          <w:szCs w:val="24"/>
        </w:rPr>
      </w:pPr>
    </w:p>
    <w:p w14:paraId="20925CF5" w14:textId="34D72752" w:rsidR="00D81203" w:rsidRPr="0040694E" w:rsidRDefault="00755C57" w:rsidP="0040694E">
      <w:pPr>
        <w:spacing w:after="0"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L</w:t>
      </w:r>
      <w:r w:rsidR="00D81203" w:rsidRPr="0040694E">
        <w:rPr>
          <w:rFonts w:ascii="Times New Roman" w:eastAsia="Times New Roman" w:hAnsi="Times New Roman" w:cs="Times New Roman"/>
          <w:sz w:val="24"/>
          <w:szCs w:val="24"/>
        </w:rPr>
        <w:t xml:space="preserve">a tâche première de la théologie </w:t>
      </w:r>
      <w:r w:rsidRPr="0040694E">
        <w:rPr>
          <w:rFonts w:ascii="Times New Roman" w:eastAsia="Times New Roman" w:hAnsi="Times New Roman" w:cs="Times New Roman"/>
          <w:sz w:val="24"/>
          <w:szCs w:val="24"/>
        </w:rPr>
        <w:t>est donc</w:t>
      </w:r>
      <w:r w:rsidR="00D81203" w:rsidRPr="0040694E">
        <w:rPr>
          <w:rFonts w:ascii="Times New Roman" w:eastAsia="Times New Roman" w:hAnsi="Times New Roman" w:cs="Times New Roman"/>
          <w:sz w:val="24"/>
          <w:szCs w:val="24"/>
        </w:rPr>
        <w:t xml:space="preserve"> de mettre en œuvre l’acte de croire dont l’énoncé s’origine dans l’Ecriture et qui, en Eglise</w:t>
      </w:r>
      <w:r w:rsidRPr="0040694E">
        <w:rPr>
          <w:rFonts w:ascii="Times New Roman" w:eastAsia="Times New Roman" w:hAnsi="Times New Roman" w:cs="Times New Roman"/>
          <w:sz w:val="24"/>
          <w:szCs w:val="24"/>
        </w:rPr>
        <w:t>,</w:t>
      </w:r>
      <w:r w:rsidR="00D81203" w:rsidRPr="0040694E">
        <w:rPr>
          <w:rFonts w:ascii="Times New Roman" w:eastAsia="Times New Roman" w:hAnsi="Times New Roman" w:cs="Times New Roman"/>
          <w:sz w:val="24"/>
          <w:szCs w:val="24"/>
        </w:rPr>
        <w:t xml:space="preserve"> produit l’acte de foi.</w:t>
      </w:r>
    </w:p>
    <w:p w14:paraId="2A04F1D5" w14:textId="77777777" w:rsidR="00D81203" w:rsidRPr="0040694E" w:rsidRDefault="00D81203" w:rsidP="0040694E">
      <w:pPr>
        <w:spacing w:after="0"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En Eglise l’énoncé de la foi s’adresser à « tous » :</w:t>
      </w:r>
    </w:p>
    <w:p w14:paraId="1ABE2F27" w14:textId="77777777" w:rsidR="00D81203" w:rsidRPr="0040694E" w:rsidRDefault="00D81203" w:rsidP="0040694E">
      <w:pPr>
        <w:pStyle w:val="Paragraphedeliste"/>
        <w:numPr>
          <w:ilvl w:val="2"/>
          <w:numId w:val="2"/>
        </w:numPr>
        <w:spacing w:after="0"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Comme explicitation des raisons de croire</w:t>
      </w:r>
    </w:p>
    <w:p w14:paraId="0D23BC8B" w14:textId="77777777" w:rsidR="00D81203" w:rsidRPr="0040694E" w:rsidRDefault="00D81203" w:rsidP="0040694E">
      <w:pPr>
        <w:pStyle w:val="Paragraphedeliste"/>
        <w:numPr>
          <w:ilvl w:val="2"/>
          <w:numId w:val="2"/>
        </w:numPr>
        <w:spacing w:after="0" w:line="240" w:lineRule="auto"/>
        <w:jc w:val="both"/>
        <w:rPr>
          <w:rFonts w:ascii="Times New Roman" w:eastAsia="Times New Roman" w:hAnsi="Times New Roman" w:cs="Times New Roman"/>
          <w:sz w:val="24"/>
          <w:szCs w:val="24"/>
        </w:rPr>
      </w:pPr>
      <w:r w:rsidRPr="0040694E">
        <w:rPr>
          <w:rFonts w:ascii="Times New Roman" w:eastAsia="Times New Roman" w:hAnsi="Times New Roman" w:cs="Times New Roman"/>
          <w:sz w:val="24"/>
          <w:szCs w:val="24"/>
        </w:rPr>
        <w:t>Et finalement, comme acte de croire</w:t>
      </w:r>
    </w:p>
    <w:p w14:paraId="2F04DE03" w14:textId="77777777" w:rsidR="00D81203" w:rsidRPr="0040694E" w:rsidRDefault="00D81203" w:rsidP="0040694E">
      <w:pPr>
        <w:spacing w:after="0" w:line="240" w:lineRule="auto"/>
        <w:jc w:val="both"/>
        <w:rPr>
          <w:rFonts w:ascii="Times New Roman" w:eastAsia="Times New Roman" w:hAnsi="Times New Roman" w:cs="Times New Roman"/>
          <w:sz w:val="24"/>
          <w:szCs w:val="24"/>
        </w:rPr>
      </w:pPr>
    </w:p>
    <w:p w14:paraId="68C5F7CC" w14:textId="77777777" w:rsidR="00D81203" w:rsidRPr="0040694E" w:rsidRDefault="00D81203" w:rsidP="0040694E">
      <w:pPr>
        <w:spacing w:after="0" w:line="240" w:lineRule="auto"/>
        <w:jc w:val="both"/>
        <w:rPr>
          <w:rFonts w:ascii="Times New Roman" w:eastAsia="Times New Roman" w:hAnsi="Times New Roman" w:cs="Times New Roman"/>
          <w:sz w:val="24"/>
          <w:szCs w:val="24"/>
        </w:rPr>
      </w:pPr>
    </w:p>
    <w:p w14:paraId="0DC03DBB" w14:textId="77777777" w:rsidR="00D81203" w:rsidRPr="0040694E" w:rsidRDefault="00D81203" w:rsidP="0040694E">
      <w:pPr>
        <w:spacing w:after="0" w:line="240" w:lineRule="auto"/>
        <w:jc w:val="both"/>
        <w:rPr>
          <w:rFonts w:ascii="Times New Roman" w:eastAsia="Times New Roman" w:hAnsi="Times New Roman" w:cs="Times New Roman"/>
          <w:sz w:val="24"/>
          <w:szCs w:val="24"/>
        </w:rPr>
      </w:pPr>
    </w:p>
    <w:p w14:paraId="6A25A890" w14:textId="77777777" w:rsidR="00EB4291" w:rsidRPr="0040694E" w:rsidRDefault="00EB4291" w:rsidP="0040694E">
      <w:pPr>
        <w:spacing w:line="240" w:lineRule="auto"/>
        <w:rPr>
          <w:sz w:val="20"/>
          <w:szCs w:val="20"/>
        </w:rPr>
      </w:pPr>
    </w:p>
    <w:sectPr w:rsidR="00EB4291" w:rsidRPr="00406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6CCE" w14:textId="77777777" w:rsidR="00874AF5" w:rsidRDefault="00874AF5" w:rsidP="00D81203">
      <w:pPr>
        <w:spacing w:after="0" w:line="240" w:lineRule="auto"/>
      </w:pPr>
      <w:r>
        <w:separator/>
      </w:r>
    </w:p>
  </w:endnote>
  <w:endnote w:type="continuationSeparator" w:id="0">
    <w:p w14:paraId="7DE89C83" w14:textId="77777777" w:rsidR="00874AF5" w:rsidRDefault="00874AF5" w:rsidP="00D8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33A1" w14:textId="77777777" w:rsidR="00874AF5" w:rsidRDefault="00874AF5" w:rsidP="00D81203">
      <w:pPr>
        <w:spacing w:after="0" w:line="240" w:lineRule="auto"/>
      </w:pPr>
      <w:r>
        <w:separator/>
      </w:r>
    </w:p>
  </w:footnote>
  <w:footnote w:type="continuationSeparator" w:id="0">
    <w:p w14:paraId="5965D43F" w14:textId="77777777" w:rsidR="00874AF5" w:rsidRDefault="00874AF5" w:rsidP="00D81203">
      <w:pPr>
        <w:spacing w:after="0" w:line="240" w:lineRule="auto"/>
      </w:pPr>
      <w:r>
        <w:continuationSeparator/>
      </w:r>
    </w:p>
  </w:footnote>
  <w:footnote w:id="1">
    <w:p w14:paraId="230CE2A3" w14:textId="77777777" w:rsidR="00D81203" w:rsidRPr="00E54583" w:rsidRDefault="00D81203" w:rsidP="00D81203">
      <w:pPr>
        <w:pStyle w:val="Notedebasdepage"/>
        <w:jc w:val="both"/>
        <w:rPr>
          <w:rFonts w:ascii="Times New Roman" w:eastAsia="Times New Roman" w:hAnsi="Times New Roman" w:cs="Times New Roman"/>
        </w:rPr>
      </w:pPr>
      <w:r>
        <w:rPr>
          <w:rStyle w:val="Appelnotedebasdep"/>
          <w:rFonts w:ascii="Calibri" w:eastAsia="Times New Roman" w:hAnsi="Calibri" w:cs="Times New Roman"/>
        </w:rPr>
        <w:footnoteRef/>
      </w:r>
      <w:r>
        <w:rPr>
          <w:rFonts w:ascii="Times New Roman" w:eastAsia="Times New Roman" w:hAnsi="Times New Roman" w:cs="Times New Roman"/>
        </w:rPr>
        <w:t xml:space="preserve"> </w:t>
      </w:r>
      <w:proofErr w:type="spellStart"/>
      <w:r w:rsidRPr="00E54583">
        <w:rPr>
          <w:rFonts w:ascii="Times New Roman" w:eastAsia="Times New Roman" w:hAnsi="Times New Roman" w:cs="Times New Roman"/>
        </w:rPr>
        <w:t>Wol</w:t>
      </w:r>
      <w:r>
        <w:rPr>
          <w:rFonts w:ascii="Times New Roman" w:eastAsia="Times New Roman" w:hAnsi="Times New Roman" w:cs="Times New Roman"/>
        </w:rPr>
        <w:t>f</w:t>
      </w:r>
      <w:r w:rsidRPr="00E54583">
        <w:rPr>
          <w:rFonts w:ascii="Times New Roman" w:eastAsia="Times New Roman" w:hAnsi="Times New Roman" w:cs="Times New Roman"/>
        </w:rPr>
        <w:t>hart</w:t>
      </w:r>
      <w:proofErr w:type="spellEnd"/>
      <w:r w:rsidRPr="00E54583">
        <w:rPr>
          <w:rFonts w:ascii="Times New Roman" w:eastAsia="Times New Roman" w:hAnsi="Times New Roman" w:cs="Times New Roman"/>
        </w:rPr>
        <w:t xml:space="preserve"> P</w:t>
      </w:r>
      <w:r w:rsidRPr="00E54583">
        <w:rPr>
          <w:rFonts w:ascii="Times New Roman" w:eastAsia="Times New Roman" w:hAnsi="Times New Roman" w:cs="Times New Roman"/>
          <w:sz w:val="16"/>
        </w:rPr>
        <w:t>ANNENBERG</w:t>
      </w:r>
      <w:r w:rsidRPr="00E54583">
        <w:rPr>
          <w:rFonts w:ascii="Times New Roman" w:eastAsia="Times New Roman" w:hAnsi="Times New Roman" w:cs="Times New Roman"/>
        </w:rPr>
        <w:t xml:space="preserve">, </w:t>
      </w:r>
      <w:r w:rsidRPr="00E54583">
        <w:rPr>
          <w:rFonts w:ascii="Times New Roman" w:eastAsia="Times New Roman" w:hAnsi="Times New Roman" w:cs="Times New Roman"/>
          <w:i/>
        </w:rPr>
        <w:t xml:space="preserve">Esquisse d’une christologie, </w:t>
      </w:r>
      <w:r w:rsidRPr="00E54583">
        <w:rPr>
          <w:rFonts w:ascii="Times New Roman" w:eastAsia="Times New Roman" w:hAnsi="Times New Roman" w:cs="Times New Roman"/>
        </w:rPr>
        <w:t xml:space="preserve">Traduit de l’allemand par A. </w:t>
      </w:r>
      <w:proofErr w:type="spellStart"/>
      <w:r w:rsidRPr="00E54583">
        <w:rPr>
          <w:rFonts w:ascii="Times New Roman" w:eastAsia="Times New Roman" w:hAnsi="Times New Roman" w:cs="Times New Roman"/>
        </w:rPr>
        <w:t>Liefooghe</w:t>
      </w:r>
      <w:proofErr w:type="spellEnd"/>
      <w:r w:rsidRPr="00E54583">
        <w:rPr>
          <w:rFonts w:ascii="Times New Roman" w:eastAsia="Times New Roman" w:hAnsi="Times New Roman" w:cs="Times New Roman"/>
        </w:rPr>
        <w:t>, Cerf, Paris, 1971, p. 14</w:t>
      </w:r>
    </w:p>
  </w:footnote>
  <w:footnote w:id="2">
    <w:p w14:paraId="405F476E" w14:textId="77777777" w:rsidR="00D81203" w:rsidRPr="00E84248" w:rsidRDefault="00D81203" w:rsidP="00D81203">
      <w:pPr>
        <w:pStyle w:val="Notedebasdepage"/>
        <w:jc w:val="both"/>
        <w:rPr>
          <w:rFonts w:ascii="Times New Roman" w:eastAsia="Times New Roman" w:hAnsi="Times New Roman" w:cs="Times New Roman"/>
          <w:lang w:val="en-GB"/>
        </w:rPr>
      </w:pPr>
      <w:r>
        <w:rPr>
          <w:rStyle w:val="Appelnotedebasdep"/>
          <w:rFonts w:ascii="Calibri" w:eastAsia="Times New Roman" w:hAnsi="Calibri" w:cs="Times New Roman"/>
        </w:rPr>
        <w:footnoteRef/>
      </w:r>
      <w:r w:rsidRPr="00E84248">
        <w:rPr>
          <w:rFonts w:ascii="Times New Roman" w:eastAsia="Times New Roman" w:hAnsi="Times New Roman" w:cs="Times New Roman"/>
          <w:lang w:val="en-GB"/>
        </w:rPr>
        <w:t xml:space="preserve"> Ibid., p. 15</w:t>
      </w:r>
    </w:p>
  </w:footnote>
  <w:footnote w:id="3">
    <w:p w14:paraId="224413FD" w14:textId="77777777" w:rsidR="00D81203" w:rsidRPr="00A5087F" w:rsidRDefault="00D81203" w:rsidP="00D81203">
      <w:pPr>
        <w:pStyle w:val="Notedebasdepage"/>
        <w:jc w:val="both"/>
        <w:rPr>
          <w:rFonts w:ascii="Times New Roman" w:eastAsia="Times New Roman" w:hAnsi="Times New Roman" w:cs="Times New Roman"/>
          <w:lang w:val="en-GB"/>
        </w:rPr>
      </w:pPr>
      <w:r>
        <w:rPr>
          <w:rStyle w:val="Appelnotedebasdep"/>
          <w:rFonts w:ascii="Calibri" w:eastAsia="Times New Roman" w:hAnsi="Calibri" w:cs="Times New Roman"/>
        </w:rPr>
        <w:footnoteRef/>
      </w:r>
      <w:r w:rsidRPr="00A5087F">
        <w:rPr>
          <w:rFonts w:ascii="Times New Roman" w:eastAsia="Times New Roman" w:hAnsi="Times New Roman" w:cs="Times New Roman"/>
          <w:lang w:val="en-GB"/>
        </w:rPr>
        <w:t xml:space="preserve"> Hans </w:t>
      </w:r>
      <w:proofErr w:type="spellStart"/>
      <w:r w:rsidRPr="00A5087F">
        <w:rPr>
          <w:rFonts w:ascii="Times New Roman" w:eastAsia="Times New Roman" w:hAnsi="Times New Roman" w:cs="Times New Roman"/>
          <w:lang w:val="en-GB"/>
        </w:rPr>
        <w:t>Urs</w:t>
      </w:r>
      <w:proofErr w:type="spellEnd"/>
      <w:r w:rsidRPr="00A5087F">
        <w:rPr>
          <w:rFonts w:ascii="Times New Roman" w:eastAsia="Times New Roman" w:hAnsi="Times New Roman" w:cs="Times New Roman"/>
          <w:lang w:val="en-GB"/>
        </w:rPr>
        <w:t xml:space="preserve"> von B</w:t>
      </w:r>
      <w:r w:rsidRPr="00A5087F">
        <w:rPr>
          <w:rFonts w:ascii="Times New Roman" w:eastAsia="Times New Roman" w:hAnsi="Times New Roman" w:cs="Times New Roman"/>
          <w:sz w:val="16"/>
          <w:lang w:val="en-GB"/>
        </w:rPr>
        <w:t>ALTHASAR</w:t>
      </w:r>
      <w:r w:rsidRPr="00A5087F">
        <w:rPr>
          <w:rFonts w:ascii="Times New Roman" w:eastAsia="Times New Roman" w:hAnsi="Times New Roman" w:cs="Times New Roman"/>
          <w:lang w:val="en-GB"/>
        </w:rPr>
        <w:t xml:space="preserve">, </w:t>
      </w:r>
      <w:r w:rsidRPr="00A5087F">
        <w:rPr>
          <w:rFonts w:ascii="Times New Roman" w:eastAsia="Times New Roman" w:hAnsi="Times New Roman" w:cs="Times New Roman"/>
          <w:i/>
          <w:lang w:val="en-GB"/>
        </w:rPr>
        <w:t xml:space="preserve">Karl Barth. </w:t>
      </w:r>
      <w:r w:rsidRPr="00FB4F23">
        <w:rPr>
          <w:rFonts w:ascii="Times New Roman" w:eastAsia="Times New Roman" w:hAnsi="Times New Roman" w:cs="Times New Roman"/>
          <w:i/>
        </w:rPr>
        <w:t xml:space="preserve">Présentation et interprétation de sa théologie, </w:t>
      </w:r>
      <w:r>
        <w:rPr>
          <w:rFonts w:ascii="Times New Roman" w:eastAsia="Times New Roman" w:hAnsi="Times New Roman" w:cs="Times New Roman"/>
        </w:rPr>
        <w:t>Cerf, Paris, 2008, p. 10</w:t>
      </w:r>
      <w:r w:rsidRPr="00FB4F23">
        <w:rPr>
          <w:rFonts w:ascii="Times New Roman" w:eastAsia="Times New Roman" w:hAnsi="Times New Roman" w:cs="Times New Roman"/>
        </w:rPr>
        <w:t xml:space="preserve">. </w:t>
      </w:r>
      <w:proofErr w:type="spellStart"/>
      <w:r>
        <w:rPr>
          <w:rFonts w:ascii="Times New Roman" w:eastAsia="Times New Roman" w:hAnsi="Times New Roman" w:cs="Times New Roman"/>
          <w:lang w:val="en-GB"/>
        </w:rPr>
        <w:t>É</w:t>
      </w:r>
      <w:r w:rsidRPr="00D12671">
        <w:rPr>
          <w:rFonts w:ascii="Times New Roman" w:eastAsia="Times New Roman" w:hAnsi="Times New Roman" w:cs="Times New Roman"/>
          <w:lang w:val="en-GB"/>
        </w:rPr>
        <w:t>dition</w:t>
      </w:r>
      <w:proofErr w:type="spellEnd"/>
      <w:r w:rsidRPr="00D12671">
        <w:rPr>
          <w:rFonts w:ascii="Times New Roman" w:eastAsia="Times New Roman" w:hAnsi="Times New Roman" w:cs="Times New Roman"/>
          <w:lang w:val="en-GB"/>
        </w:rPr>
        <w:t xml:space="preserve"> </w:t>
      </w:r>
      <w:proofErr w:type="spellStart"/>
      <w:r w:rsidRPr="00D12671">
        <w:rPr>
          <w:rFonts w:ascii="Times New Roman" w:eastAsia="Times New Roman" w:hAnsi="Times New Roman" w:cs="Times New Roman"/>
          <w:lang w:val="en-GB"/>
        </w:rPr>
        <w:t>originale</w:t>
      </w:r>
      <w:proofErr w:type="spellEnd"/>
      <w:r w:rsidRPr="00D12671">
        <w:rPr>
          <w:rFonts w:ascii="Times New Roman" w:eastAsia="Times New Roman" w:hAnsi="Times New Roman" w:cs="Times New Roman"/>
          <w:lang w:val="en-GB"/>
        </w:rPr>
        <w:t xml:space="preserve">, </w:t>
      </w:r>
      <w:r w:rsidRPr="00D12671">
        <w:rPr>
          <w:rFonts w:ascii="Times New Roman" w:eastAsia="Times New Roman" w:hAnsi="Times New Roman" w:cs="Times New Roman"/>
          <w:i/>
          <w:lang w:val="en-GB"/>
        </w:rPr>
        <w:t>Karl Barth.</w:t>
      </w:r>
      <w:r>
        <w:rPr>
          <w:rFonts w:ascii="Times New Roman" w:eastAsia="Times New Roman" w:hAnsi="Times New Roman" w:cs="Times New Roman"/>
          <w:i/>
          <w:lang w:val="en-GB"/>
        </w:rPr>
        <w:t xml:space="preserve">  </w:t>
      </w:r>
      <w:proofErr w:type="spellStart"/>
      <w:r w:rsidRPr="00D12671">
        <w:rPr>
          <w:rFonts w:ascii="Times New Roman" w:eastAsia="Times New Roman" w:hAnsi="Times New Roman" w:cs="Times New Roman"/>
          <w:i/>
          <w:lang w:val="en-GB"/>
        </w:rPr>
        <w:t>Darstellung</w:t>
      </w:r>
      <w:proofErr w:type="spellEnd"/>
      <w:r w:rsidRPr="00D12671">
        <w:rPr>
          <w:rFonts w:ascii="Times New Roman" w:eastAsia="Times New Roman" w:hAnsi="Times New Roman" w:cs="Times New Roman"/>
          <w:i/>
          <w:lang w:val="en-GB"/>
        </w:rPr>
        <w:t xml:space="preserve"> und </w:t>
      </w:r>
      <w:proofErr w:type="spellStart"/>
      <w:r w:rsidRPr="00D12671">
        <w:rPr>
          <w:rFonts w:ascii="Times New Roman" w:eastAsia="Times New Roman" w:hAnsi="Times New Roman" w:cs="Times New Roman"/>
          <w:i/>
          <w:lang w:val="en-GB"/>
        </w:rPr>
        <w:t>Deutungs</w:t>
      </w:r>
      <w:proofErr w:type="spellEnd"/>
      <w:r>
        <w:rPr>
          <w:rFonts w:ascii="Times New Roman" w:eastAsia="Times New Roman" w:hAnsi="Times New Roman" w:cs="Times New Roman"/>
          <w:i/>
          <w:lang w:val="en-GB"/>
        </w:rPr>
        <w:t xml:space="preserve"> </w:t>
      </w:r>
      <w:proofErr w:type="spellStart"/>
      <w:r w:rsidRPr="00D12671">
        <w:rPr>
          <w:rFonts w:ascii="Times New Roman" w:eastAsia="Times New Roman" w:hAnsi="Times New Roman" w:cs="Times New Roman"/>
          <w:i/>
          <w:lang w:val="en-GB"/>
        </w:rPr>
        <w:t>einer</w:t>
      </w:r>
      <w:proofErr w:type="spellEnd"/>
      <w:r w:rsidRPr="00D12671">
        <w:rPr>
          <w:rFonts w:ascii="Times New Roman" w:eastAsia="Times New Roman" w:hAnsi="Times New Roman" w:cs="Times New Roman"/>
          <w:i/>
          <w:lang w:val="en-GB"/>
        </w:rPr>
        <w:t xml:space="preserve"> </w:t>
      </w:r>
      <w:proofErr w:type="spellStart"/>
      <w:r w:rsidRPr="00D12671">
        <w:rPr>
          <w:rFonts w:ascii="Times New Roman" w:eastAsia="Times New Roman" w:hAnsi="Times New Roman" w:cs="Times New Roman"/>
          <w:i/>
          <w:lang w:val="en-GB"/>
        </w:rPr>
        <w:t>Theologie</w:t>
      </w:r>
      <w:proofErr w:type="spellEnd"/>
      <w:r w:rsidRPr="00D12671">
        <w:rPr>
          <w:rFonts w:ascii="Times New Roman" w:eastAsia="Times New Roman" w:hAnsi="Times New Roman" w:cs="Times New Roman"/>
          <w:i/>
          <w:lang w:val="en-GB"/>
        </w:rPr>
        <w:t xml:space="preserve">, </w:t>
      </w:r>
      <w:r w:rsidRPr="00D12671">
        <w:rPr>
          <w:rFonts w:ascii="Times New Roman" w:eastAsia="Times New Roman" w:hAnsi="Times New Roman" w:cs="Times New Roman"/>
          <w:lang w:val="en-GB"/>
        </w:rPr>
        <w:t>Johannes Verlag</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Ensiedeln</w:t>
      </w:r>
      <w:proofErr w:type="spellEnd"/>
      <w:r>
        <w:rPr>
          <w:rFonts w:ascii="Times New Roman" w:eastAsia="Times New Roman" w:hAnsi="Times New Roman" w:cs="Times New Roman"/>
          <w:lang w:val="en-GB"/>
        </w:rPr>
        <w:t>, Freiburg, 1951, 1976</w:t>
      </w:r>
      <w:r w:rsidRPr="00A5087F">
        <w:rPr>
          <w:rFonts w:ascii="Times New Roman" w:eastAsia="Times New Roman" w:hAnsi="Times New Roman" w:cs="Times New Roman"/>
          <w:lang w:val="en-GB"/>
        </w:rPr>
        <w:t>, p. 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E4453"/>
    <w:multiLevelType w:val="hybridMultilevel"/>
    <w:tmpl w:val="982A2D76"/>
    <w:lvl w:ilvl="0" w:tplc="FA5C44E6">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BF21AB"/>
    <w:multiLevelType w:val="hybridMultilevel"/>
    <w:tmpl w:val="6ACA5FB2"/>
    <w:lvl w:ilvl="0" w:tplc="771024F6">
      <w:numFmt w:val="bullet"/>
      <w:lvlText w:val=""/>
      <w:lvlJc w:val="left"/>
      <w:pPr>
        <w:ind w:left="720" w:hanging="360"/>
      </w:pPr>
      <w:rPr>
        <w:rFonts w:ascii="Wingdings" w:eastAsiaTheme="minorEastAsia"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0999186">
    <w:abstractNumId w:val="0"/>
  </w:num>
  <w:num w:numId="2" w16cid:durableId="191431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22"/>
    <w:rsid w:val="0040694E"/>
    <w:rsid w:val="00617B1C"/>
    <w:rsid w:val="00755C57"/>
    <w:rsid w:val="00874AF5"/>
    <w:rsid w:val="00A34A91"/>
    <w:rsid w:val="00C01222"/>
    <w:rsid w:val="00D81203"/>
    <w:rsid w:val="00EB4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B0A4"/>
  <w15:chartTrackingRefBased/>
  <w15:docId w15:val="{8988E9F9-1E6F-4B36-B1EB-887B7DD8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3"/>
    <w:pPr>
      <w:spacing w:after="200" w:line="276" w:lineRule="auto"/>
    </w:pPr>
    <w:rPr>
      <w:rFonts w:eastAsiaTheme="minorEastAsia"/>
      <w:kern w:val="0"/>
      <w:sz w:val="22"/>
      <w:szCs w:val="22"/>
      <w:lang w:eastAsia="fr-FR"/>
      <w14:ligatures w14:val="none"/>
    </w:rPr>
  </w:style>
  <w:style w:type="paragraph" w:styleId="Titre1">
    <w:name w:val="heading 1"/>
    <w:basedOn w:val="Normal"/>
    <w:next w:val="Normal"/>
    <w:link w:val="Titre1Car"/>
    <w:uiPriority w:val="9"/>
    <w:qFormat/>
    <w:rsid w:val="00C0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12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12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12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12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12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12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12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12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12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12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12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12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12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12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12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1222"/>
    <w:rPr>
      <w:rFonts w:eastAsiaTheme="majorEastAsia" w:cstheme="majorBidi"/>
      <w:color w:val="272727" w:themeColor="text1" w:themeTint="D8"/>
    </w:rPr>
  </w:style>
  <w:style w:type="paragraph" w:styleId="Titre">
    <w:name w:val="Title"/>
    <w:basedOn w:val="Normal"/>
    <w:next w:val="Normal"/>
    <w:link w:val="TitreCar"/>
    <w:uiPriority w:val="10"/>
    <w:qFormat/>
    <w:rsid w:val="00C0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12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12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12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1222"/>
    <w:pPr>
      <w:spacing w:before="160"/>
      <w:jc w:val="center"/>
    </w:pPr>
    <w:rPr>
      <w:i/>
      <w:iCs/>
      <w:color w:val="404040" w:themeColor="text1" w:themeTint="BF"/>
    </w:rPr>
  </w:style>
  <w:style w:type="character" w:customStyle="1" w:styleId="CitationCar">
    <w:name w:val="Citation Car"/>
    <w:basedOn w:val="Policepardfaut"/>
    <w:link w:val="Citation"/>
    <w:uiPriority w:val="29"/>
    <w:rsid w:val="00C01222"/>
    <w:rPr>
      <w:i/>
      <w:iCs/>
      <w:color w:val="404040" w:themeColor="text1" w:themeTint="BF"/>
    </w:rPr>
  </w:style>
  <w:style w:type="paragraph" w:styleId="Paragraphedeliste">
    <w:name w:val="List Paragraph"/>
    <w:basedOn w:val="Normal"/>
    <w:uiPriority w:val="34"/>
    <w:qFormat/>
    <w:rsid w:val="00C01222"/>
    <w:pPr>
      <w:ind w:left="720"/>
      <w:contextualSpacing/>
    </w:pPr>
  </w:style>
  <w:style w:type="character" w:styleId="Accentuationintense">
    <w:name w:val="Intense Emphasis"/>
    <w:basedOn w:val="Policepardfaut"/>
    <w:uiPriority w:val="21"/>
    <w:qFormat/>
    <w:rsid w:val="00C01222"/>
    <w:rPr>
      <w:i/>
      <w:iCs/>
      <w:color w:val="0F4761" w:themeColor="accent1" w:themeShade="BF"/>
    </w:rPr>
  </w:style>
  <w:style w:type="paragraph" w:styleId="Citationintense">
    <w:name w:val="Intense Quote"/>
    <w:basedOn w:val="Normal"/>
    <w:next w:val="Normal"/>
    <w:link w:val="CitationintenseCar"/>
    <w:uiPriority w:val="30"/>
    <w:qFormat/>
    <w:rsid w:val="00C0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1222"/>
    <w:rPr>
      <w:i/>
      <w:iCs/>
      <w:color w:val="0F4761" w:themeColor="accent1" w:themeShade="BF"/>
    </w:rPr>
  </w:style>
  <w:style w:type="character" w:styleId="Rfrenceintense">
    <w:name w:val="Intense Reference"/>
    <w:basedOn w:val="Policepardfaut"/>
    <w:uiPriority w:val="32"/>
    <w:qFormat/>
    <w:rsid w:val="00C01222"/>
    <w:rPr>
      <w:b/>
      <w:bCs/>
      <w:smallCaps/>
      <w:color w:val="0F4761" w:themeColor="accent1" w:themeShade="BF"/>
      <w:spacing w:val="5"/>
    </w:rPr>
  </w:style>
  <w:style w:type="paragraph" w:styleId="Notedebasdepage">
    <w:name w:val="footnote text"/>
    <w:basedOn w:val="Normal"/>
    <w:link w:val="NotedebasdepageCar"/>
    <w:uiPriority w:val="99"/>
    <w:unhideWhenUsed/>
    <w:rsid w:val="00D81203"/>
    <w:pPr>
      <w:spacing w:after="0" w:line="240" w:lineRule="auto"/>
    </w:pPr>
    <w:rPr>
      <w:sz w:val="20"/>
      <w:szCs w:val="20"/>
    </w:rPr>
  </w:style>
  <w:style w:type="character" w:customStyle="1" w:styleId="NotedebasdepageCar">
    <w:name w:val="Note de bas de page Car"/>
    <w:basedOn w:val="Policepardfaut"/>
    <w:link w:val="Notedebasdepage"/>
    <w:uiPriority w:val="99"/>
    <w:rsid w:val="00D81203"/>
    <w:rPr>
      <w:rFonts w:eastAsiaTheme="minorEastAsia"/>
      <w:kern w:val="0"/>
      <w:sz w:val="20"/>
      <w:szCs w:val="20"/>
      <w:lang w:eastAsia="fr-FR"/>
      <w14:ligatures w14:val="none"/>
    </w:rPr>
  </w:style>
  <w:style w:type="character" w:styleId="Appelnotedebasdep">
    <w:name w:val="footnote reference"/>
    <w:basedOn w:val="Policepardfaut"/>
    <w:unhideWhenUsed/>
    <w:qFormat/>
    <w:rsid w:val="00D81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797</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PICARD</dc:creator>
  <cp:keywords/>
  <dc:description/>
  <cp:lastModifiedBy>Jocelyne PICARD</cp:lastModifiedBy>
  <cp:revision>3</cp:revision>
  <dcterms:created xsi:type="dcterms:W3CDTF">2025-12-11T13:45:00Z</dcterms:created>
  <dcterms:modified xsi:type="dcterms:W3CDTF">2025-12-11T13:57:00Z</dcterms:modified>
</cp:coreProperties>
</file>